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3382" w14:textId="77777777" w:rsidR="00BC07FE" w:rsidRDefault="00BC07FE">
      <w:pPr>
        <w:pStyle w:val="Textbody"/>
        <w:spacing w:after="142" w:line="276" w:lineRule="auto"/>
        <w:jc w:val="both"/>
        <w:rPr>
          <w:rFonts w:ascii="Arial" w:hAnsi="Arial" w:cs="Arial"/>
          <w:b/>
          <w:color w:val="000000" w:themeColor="text1"/>
        </w:rPr>
      </w:pPr>
    </w:p>
    <w:p w14:paraId="2871E6AC" w14:textId="71306B17" w:rsidR="00B92A9C" w:rsidRDefault="00F32D62">
      <w:pPr>
        <w:pStyle w:val="Textbody"/>
        <w:spacing w:after="142" w:line="276" w:lineRule="auto"/>
        <w:jc w:val="both"/>
        <w:rPr>
          <w:rFonts w:ascii="Arial" w:hAnsi="Arial" w:cs="Arial"/>
          <w:b/>
          <w:color w:val="000000" w:themeColor="text1"/>
        </w:rPr>
      </w:pPr>
      <w:r>
        <w:rPr>
          <w:rFonts w:ascii="Arial" w:hAnsi="Arial" w:cs="Arial"/>
          <w:b/>
          <w:color w:val="000000" w:themeColor="text1"/>
        </w:rPr>
        <w:t>EXCELENTÍSSIMO(A) SENHOR(A) DOUTOR(A) JUIZ(A) DE DIREITO DA ___ª VARA DA INFÂNCIA E DA JUVENTUDE DESTA COMARCA</w:t>
      </w:r>
    </w:p>
    <w:p w14:paraId="34AB2C14" w14:textId="77777777" w:rsidR="00B92A9C" w:rsidRDefault="00B92A9C">
      <w:pPr>
        <w:pStyle w:val="Textbody"/>
        <w:spacing w:after="142" w:line="276" w:lineRule="auto"/>
        <w:jc w:val="both"/>
        <w:rPr>
          <w:rFonts w:ascii="Arial" w:hAnsi="Arial" w:cs="Arial"/>
          <w:color w:val="000000" w:themeColor="text1"/>
        </w:rPr>
      </w:pPr>
    </w:p>
    <w:p w14:paraId="25C6BBB5" w14:textId="77777777" w:rsidR="00B92A9C" w:rsidRDefault="00B92A9C">
      <w:pPr>
        <w:pStyle w:val="Textbody"/>
        <w:spacing w:after="142" w:line="276" w:lineRule="auto"/>
        <w:jc w:val="both"/>
        <w:rPr>
          <w:rFonts w:ascii="Arial" w:hAnsi="Arial" w:cs="Arial"/>
          <w:color w:val="000000" w:themeColor="text1"/>
        </w:rPr>
      </w:pPr>
    </w:p>
    <w:p w14:paraId="541BCA52" w14:textId="77777777" w:rsidR="00B92A9C" w:rsidRDefault="00B92A9C">
      <w:pPr>
        <w:pStyle w:val="Textbody"/>
        <w:spacing w:after="142" w:line="276" w:lineRule="auto"/>
        <w:jc w:val="both"/>
        <w:rPr>
          <w:rFonts w:ascii="Arial" w:hAnsi="Arial" w:cs="Arial"/>
          <w:color w:val="000000" w:themeColor="text1"/>
        </w:rPr>
      </w:pPr>
    </w:p>
    <w:p w14:paraId="6948F4A6" w14:textId="77777777" w:rsidR="00B92A9C" w:rsidRDefault="00B92A9C">
      <w:pPr>
        <w:pStyle w:val="Textbody"/>
        <w:spacing w:after="142" w:line="276" w:lineRule="auto"/>
        <w:jc w:val="both"/>
        <w:rPr>
          <w:rFonts w:ascii="Arial" w:hAnsi="Arial" w:cs="Arial"/>
          <w:b/>
          <w:bCs/>
          <w:color w:val="FF0000"/>
          <w:lang w:val="en-US"/>
        </w:rPr>
      </w:pPr>
    </w:p>
    <w:p w14:paraId="2EDE79B8" w14:textId="77777777" w:rsidR="00B92A9C" w:rsidRDefault="00B92A9C">
      <w:pPr>
        <w:pStyle w:val="Textbody"/>
        <w:spacing w:after="142" w:line="276" w:lineRule="auto"/>
        <w:jc w:val="both"/>
        <w:rPr>
          <w:rFonts w:ascii="Arial" w:hAnsi="Arial" w:cs="Arial"/>
          <w:b/>
          <w:bCs/>
          <w:color w:val="FF0000"/>
          <w:lang w:val="en-US"/>
        </w:rPr>
      </w:pPr>
    </w:p>
    <w:p w14:paraId="27F05386" w14:textId="77777777" w:rsidR="00B92A9C" w:rsidRDefault="00F32D62">
      <w:pPr>
        <w:pStyle w:val="Textbody"/>
        <w:spacing w:after="142" w:line="276" w:lineRule="auto"/>
        <w:jc w:val="both"/>
        <w:rPr>
          <w:color w:val="FF0000"/>
        </w:rPr>
      </w:pP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rPr>
        <w:tab/>
      </w:r>
    </w:p>
    <w:p w14:paraId="49C100B0" w14:textId="77777777" w:rsidR="00B92A9C" w:rsidRDefault="00F32D62">
      <w:pPr>
        <w:pStyle w:val="Textbody"/>
        <w:spacing w:after="142" w:line="276" w:lineRule="auto"/>
        <w:jc w:val="both"/>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p>
    <w:p w14:paraId="0C4444F2" w14:textId="77777777" w:rsidR="00B92A9C" w:rsidRDefault="00F32D62">
      <w:pPr>
        <w:pStyle w:val="Standard"/>
        <w:spacing w:after="142" w:line="360" w:lineRule="auto"/>
        <w:ind w:firstLine="1134"/>
        <w:jc w:val="both"/>
      </w:pPr>
      <w:r>
        <w:rPr>
          <w:rStyle w:val="Fontepargpadro2"/>
          <w:rFonts w:ascii="Arial" w:eastAsia="Times New Roman" w:hAnsi="Arial"/>
          <w:color w:val="000000"/>
        </w:rPr>
        <w:t>O MINISTÉRIO PÚBLICO DO ESTADO DA BAHIA, por intermédio do Promotor de Justiça subscritor, no uso das atribuições legais conferidas pelo artigo 201, incisos I e II, da Lei 8069/90 (Estatuto da Criança e do Adolescente – ECA), vem, respeitosamente, perante V. Ex.ª, com base no anexo Boletim de Ocorrência identificado em epígrafe, oriundo da Delegacia para o Adolescente Infrator – DAI</w:t>
      </w:r>
      <w:r>
        <w:rPr>
          <w:rStyle w:val="Fontepargpadro1"/>
          <w:rFonts w:ascii="Arial" w:eastAsia="Times New Roman" w:hAnsi="Arial"/>
          <w:color w:val="000000"/>
        </w:rPr>
        <w:t xml:space="preserve">, expor e requerer: </w:t>
      </w:r>
    </w:p>
    <w:p w14:paraId="3215A5B2" w14:textId="77777777" w:rsidR="00B92A9C" w:rsidRDefault="00F32D62">
      <w:pPr>
        <w:pStyle w:val="Standard"/>
        <w:spacing w:after="142" w:line="360" w:lineRule="auto"/>
        <w:ind w:firstLine="1134"/>
        <w:jc w:val="both"/>
      </w:pPr>
      <w:r>
        <w:rPr>
          <w:rStyle w:val="Fontepargpadro1"/>
          <w:rFonts w:ascii="Arial" w:eastAsia="Times New Roman" w:hAnsi="Arial"/>
          <w:color w:val="000000"/>
        </w:rPr>
        <w:t xml:space="preserve">Por meio de ofício </w:t>
      </w:r>
      <w:r>
        <w:rPr>
          <w:rStyle w:val="Fontepargpadro1"/>
          <w:rFonts w:ascii="Arial" w:eastAsia="Times New Roman" w:hAnsi="Arial"/>
          <w:b/>
          <w:bCs/>
          <w:color w:val="000000"/>
        </w:rPr>
        <w:t>0449/2019</w:t>
      </w:r>
      <w:r>
        <w:rPr>
          <w:rStyle w:val="Fontepargpadro1"/>
          <w:rFonts w:ascii="Arial" w:eastAsia="Times New Roman" w:hAnsi="Arial"/>
          <w:color w:val="000000"/>
        </w:rPr>
        <w:t xml:space="preserve">, a Autoridade Policial encaminhou ao Ministério Público as peças informativas acima identificadas, alusivas a suposta conduta infracional atribuída ao adolescente </w:t>
      </w:r>
      <w:r w:rsidR="00087AC4">
        <w:rPr>
          <w:rStyle w:val="Fontepargpadro1"/>
          <w:rFonts w:ascii="Arial" w:eastAsia="Times New Roman" w:hAnsi="Arial" w:cs="Arial"/>
          <w:b/>
          <w:bCs/>
          <w:color w:val="000000"/>
        </w:rPr>
        <w:t>XXXXXX</w:t>
      </w:r>
      <w:r>
        <w:rPr>
          <w:rStyle w:val="Fontepargpadro1"/>
          <w:rFonts w:ascii="Arial" w:eastAsia="Times New Roman" w:hAnsi="Arial" w:cs="Arial"/>
          <w:b/>
          <w:bCs/>
          <w:color w:val="000000"/>
          <w:highlight w:val="white"/>
          <w:u w:val="single"/>
        </w:rPr>
        <w:t xml:space="preserve">, </w:t>
      </w:r>
      <w:r>
        <w:rPr>
          <w:rStyle w:val="Fontepargpadro1"/>
          <w:rFonts w:ascii="Arial" w:eastAsia="Times New Roman" w:hAnsi="Arial" w:cs="Arial"/>
          <w:color w:val="000000"/>
          <w:highlight w:val="white"/>
          <w:u w:val="single"/>
        </w:rPr>
        <w:t xml:space="preserve">natural de </w:t>
      </w:r>
      <w:r w:rsidR="00087AC4">
        <w:rPr>
          <w:rStyle w:val="Fontepargpadro1"/>
          <w:rFonts w:ascii="Arial" w:eastAsia="Times New Roman" w:hAnsi="Arial" w:cs="Arial"/>
          <w:b/>
          <w:bCs/>
          <w:color w:val="000000"/>
        </w:rPr>
        <w:t>XXXXXX</w:t>
      </w:r>
      <w:r>
        <w:rPr>
          <w:rStyle w:val="Fontepargpadro1"/>
          <w:rFonts w:ascii="Arial" w:eastAsia="Times New Roman" w:hAnsi="Arial" w:cs="Arial"/>
          <w:color w:val="000000"/>
          <w:highlight w:val="white"/>
          <w:u w:val="single"/>
        </w:rPr>
        <w:t xml:space="preserve">, RG. </w:t>
      </w:r>
      <w:r w:rsidR="00087AC4">
        <w:rPr>
          <w:rStyle w:val="Fontepargpadro1"/>
          <w:rFonts w:ascii="Arial" w:eastAsia="Times New Roman" w:hAnsi="Arial" w:cs="Arial"/>
          <w:b/>
          <w:bCs/>
          <w:color w:val="000000"/>
        </w:rPr>
        <w:t>XXXXXX</w:t>
      </w:r>
      <w:r>
        <w:rPr>
          <w:rStyle w:val="Fontepargpadro1"/>
          <w:rFonts w:ascii="Arial" w:eastAsia="Times New Roman" w:hAnsi="Arial" w:cs="Arial"/>
          <w:color w:val="000000"/>
          <w:highlight w:val="white"/>
          <w:u w:val="single"/>
        </w:rPr>
        <w:t xml:space="preserve">, nascido em </w:t>
      </w:r>
      <w:r w:rsidR="00087AC4">
        <w:rPr>
          <w:rStyle w:val="Fontepargpadro1"/>
          <w:rFonts w:ascii="Arial" w:eastAsia="Times New Roman" w:hAnsi="Arial" w:cs="Arial"/>
          <w:b/>
          <w:bCs/>
          <w:color w:val="000000"/>
        </w:rPr>
        <w:t>XXXXXX</w:t>
      </w:r>
      <w:r>
        <w:rPr>
          <w:rStyle w:val="Fontepargpadro1"/>
          <w:rFonts w:ascii="Arial" w:eastAsia="Times New Roman" w:hAnsi="Arial" w:cs="Arial"/>
          <w:color w:val="000000"/>
          <w:highlight w:val="white"/>
          <w:u w:val="single"/>
        </w:rPr>
        <w:t xml:space="preserve">, filho de </w:t>
      </w:r>
      <w:r w:rsidR="00087AC4">
        <w:rPr>
          <w:rStyle w:val="Fontepargpadro1"/>
          <w:rFonts w:ascii="Arial" w:eastAsia="Times New Roman" w:hAnsi="Arial" w:cs="Arial"/>
          <w:b/>
          <w:bCs/>
          <w:color w:val="000000"/>
        </w:rPr>
        <w:t>XXXXXX</w:t>
      </w:r>
      <w:r>
        <w:rPr>
          <w:rStyle w:val="Fontepargpadro1"/>
          <w:rFonts w:ascii="Arial" w:eastAsia="Times New Roman" w:hAnsi="Arial" w:cs="Arial"/>
          <w:color w:val="000000"/>
          <w:highlight w:val="white"/>
          <w:u w:val="single"/>
        </w:rPr>
        <w:t xml:space="preserve">, residente no </w:t>
      </w:r>
      <w:r w:rsidR="00087AC4">
        <w:rPr>
          <w:rStyle w:val="Fontepargpadro1"/>
          <w:rFonts w:ascii="Arial" w:eastAsia="Times New Roman" w:hAnsi="Arial" w:cs="Arial"/>
          <w:b/>
          <w:bCs/>
          <w:color w:val="000000"/>
        </w:rPr>
        <w:t>XXXXXX</w:t>
      </w:r>
      <w:r w:rsidR="00087AC4">
        <w:rPr>
          <w:rStyle w:val="Fontepargpadro1"/>
          <w:rFonts w:ascii="Arial" w:eastAsia="Times New Roman" w:hAnsi="Arial" w:cs="Arial"/>
          <w:color w:val="000000"/>
          <w:highlight w:val="white"/>
          <w:u w:val="single"/>
        </w:rPr>
        <w:t xml:space="preserve">,  Telefone </w:t>
      </w:r>
      <w:r w:rsidR="00087AC4">
        <w:rPr>
          <w:rStyle w:val="Fontepargpadro1"/>
          <w:rFonts w:ascii="Arial" w:eastAsia="Times New Roman" w:hAnsi="Arial" w:cs="Arial"/>
          <w:b/>
          <w:bCs/>
          <w:color w:val="000000"/>
        </w:rPr>
        <w:t>XXXXXX</w:t>
      </w:r>
      <w:r>
        <w:rPr>
          <w:rStyle w:val="Fontepargpadro1"/>
          <w:rFonts w:ascii="Arial" w:eastAsia="Times New Roman" w:hAnsi="Arial" w:cs="Arial"/>
          <w:color w:val="000000"/>
          <w:highlight w:val="white"/>
          <w:u w:val="single"/>
        </w:rPr>
        <w:t>.</w:t>
      </w:r>
    </w:p>
    <w:p w14:paraId="038276D5" w14:textId="54150551" w:rsidR="00B92A9C" w:rsidRDefault="00F32D62">
      <w:pPr>
        <w:pStyle w:val="Standard"/>
        <w:spacing w:after="142" w:line="360" w:lineRule="auto"/>
        <w:ind w:firstLine="1134"/>
        <w:jc w:val="both"/>
      </w:pPr>
      <w:r>
        <w:rPr>
          <w:rFonts w:ascii="Arial" w:hAnsi="Arial" w:cs="Arial"/>
          <w:color w:val="000000"/>
        </w:rPr>
        <w:t xml:space="preserve">Conforme as peças informativas anexas, no dia </w:t>
      </w:r>
      <w:proofErr w:type="spellStart"/>
      <w:r w:rsidR="00BC07FE">
        <w:rPr>
          <w:rFonts w:ascii="Arial" w:hAnsi="Arial" w:cs="Arial"/>
          <w:color w:val="000000"/>
        </w:rPr>
        <w:t>xxx</w:t>
      </w:r>
      <w:proofErr w:type="spellEnd"/>
      <w:r>
        <w:rPr>
          <w:rFonts w:ascii="Arial" w:hAnsi="Arial" w:cs="Arial"/>
          <w:color w:val="000000"/>
        </w:rPr>
        <w:t xml:space="preserve"> de </w:t>
      </w:r>
      <w:proofErr w:type="spellStart"/>
      <w:r w:rsidR="00BC07FE">
        <w:rPr>
          <w:rFonts w:ascii="Arial" w:hAnsi="Arial" w:cs="Arial"/>
          <w:color w:val="000000"/>
        </w:rPr>
        <w:t>xxxx</w:t>
      </w:r>
      <w:proofErr w:type="spellEnd"/>
      <w:r>
        <w:rPr>
          <w:rFonts w:ascii="Arial" w:hAnsi="Arial" w:cs="Arial"/>
          <w:color w:val="000000"/>
        </w:rPr>
        <w:t xml:space="preserve"> de </w:t>
      </w:r>
      <w:r w:rsidR="00BC07FE">
        <w:rPr>
          <w:rFonts w:ascii="Arial" w:hAnsi="Arial" w:cs="Arial"/>
          <w:color w:val="000000"/>
        </w:rPr>
        <w:t>2023</w:t>
      </w:r>
      <w:r>
        <w:rPr>
          <w:rFonts w:ascii="Arial" w:hAnsi="Arial" w:cs="Arial"/>
          <w:color w:val="000000"/>
        </w:rPr>
        <w:t xml:space="preserve">, na Avenida São Rafael, em frente ao Hospital São Rafael, bairro São Marcos, nesta Capital, o adolescente </w:t>
      </w:r>
      <w:r w:rsidR="00087AC4">
        <w:rPr>
          <w:rStyle w:val="Fontepargpadro1"/>
          <w:rFonts w:ascii="Arial" w:eastAsia="Times New Roman" w:hAnsi="Arial" w:cs="Arial"/>
          <w:b/>
          <w:bCs/>
          <w:color w:val="000000"/>
        </w:rPr>
        <w:t>XXXXXX</w:t>
      </w:r>
      <w:r>
        <w:rPr>
          <w:rFonts w:ascii="Arial" w:hAnsi="Arial" w:cs="Arial"/>
          <w:color w:val="000000"/>
        </w:rPr>
        <w:t xml:space="preserve"> tinha sob seu poder uma motocicleta, marca </w:t>
      </w:r>
      <w:proofErr w:type="spellStart"/>
      <w:r>
        <w:rPr>
          <w:rFonts w:ascii="Arial" w:hAnsi="Arial" w:cs="Arial"/>
          <w:color w:val="000000"/>
        </w:rPr>
        <w:t>Wuyang</w:t>
      </w:r>
      <w:proofErr w:type="spellEnd"/>
      <w:r>
        <w:rPr>
          <w:rFonts w:ascii="Arial" w:hAnsi="Arial" w:cs="Arial"/>
          <w:color w:val="000000"/>
        </w:rPr>
        <w:t xml:space="preserve">, modelo </w:t>
      </w:r>
      <w:r w:rsidR="00087AC4">
        <w:rPr>
          <w:rFonts w:ascii="Arial" w:hAnsi="Arial" w:cs="Arial"/>
          <w:color w:val="000000"/>
        </w:rPr>
        <w:t xml:space="preserve">WY 50Q Jet, ano 2013, numeração </w:t>
      </w:r>
      <w:r>
        <w:rPr>
          <w:rFonts w:ascii="Arial" w:hAnsi="Arial" w:cs="Arial"/>
          <w:color w:val="000000"/>
        </w:rPr>
        <w:t xml:space="preserve">vermelha, veículo este subtraído da vítima </w:t>
      </w:r>
      <w:r w:rsidR="00087AC4">
        <w:rPr>
          <w:rStyle w:val="Fontepargpadro1"/>
          <w:rFonts w:ascii="Arial" w:eastAsia="Times New Roman" w:hAnsi="Arial" w:cs="Arial"/>
          <w:b/>
          <w:bCs/>
          <w:color w:val="000000"/>
        </w:rPr>
        <w:t>XXXXXX</w:t>
      </w:r>
      <w:r>
        <w:rPr>
          <w:rFonts w:ascii="Arial" w:hAnsi="Arial" w:cs="Arial"/>
          <w:color w:val="000000"/>
        </w:rPr>
        <w:t>, conforme registrado na Ocorrência nº 5720/2018 – 23ª DT (Lauro de Freitas-BA).</w:t>
      </w:r>
    </w:p>
    <w:p w14:paraId="3F1582B3" w14:textId="77777777" w:rsidR="00B92A9C" w:rsidRDefault="00F32D62">
      <w:pPr>
        <w:pStyle w:val="Standard"/>
        <w:spacing w:after="142" w:line="360" w:lineRule="auto"/>
        <w:ind w:firstLine="1134"/>
        <w:jc w:val="both"/>
      </w:pPr>
      <w:r>
        <w:rPr>
          <w:rFonts w:ascii="Arial" w:hAnsi="Arial" w:cs="Arial"/>
          <w:color w:val="000000"/>
        </w:rPr>
        <w:t xml:space="preserve">Segundo apurado, o adolescente </w:t>
      </w:r>
      <w:r w:rsidR="00087AC4">
        <w:rPr>
          <w:rStyle w:val="Fontepargpadro1"/>
          <w:rFonts w:ascii="Arial" w:eastAsia="Times New Roman" w:hAnsi="Arial" w:cs="Arial"/>
          <w:b/>
          <w:bCs/>
          <w:color w:val="000000"/>
        </w:rPr>
        <w:t>XXXXXX</w:t>
      </w:r>
      <w:r>
        <w:rPr>
          <w:rFonts w:ascii="Arial" w:hAnsi="Arial" w:cs="Arial"/>
          <w:color w:val="000000"/>
        </w:rPr>
        <w:t>, após tomar conhecimento de um anúncio no site “</w:t>
      </w:r>
      <w:proofErr w:type="spellStart"/>
      <w:r>
        <w:rPr>
          <w:rFonts w:ascii="Arial" w:hAnsi="Arial" w:cs="Arial"/>
          <w:color w:val="000000"/>
        </w:rPr>
        <w:t>Olx</w:t>
      </w:r>
      <w:proofErr w:type="spellEnd"/>
      <w:r>
        <w:rPr>
          <w:rFonts w:ascii="Arial" w:hAnsi="Arial" w:cs="Arial"/>
          <w:color w:val="000000"/>
        </w:rPr>
        <w:t xml:space="preserve">” (https://olx.com.br), adquiriu a referida motocicleta em mãos do indivíduo identificado como </w:t>
      </w:r>
      <w:r w:rsidR="00087AC4">
        <w:rPr>
          <w:rStyle w:val="Fontepargpadro1"/>
          <w:rFonts w:ascii="Arial" w:eastAsia="Times New Roman" w:hAnsi="Arial" w:cs="Arial"/>
          <w:b/>
          <w:bCs/>
          <w:color w:val="000000"/>
        </w:rPr>
        <w:t>XXXXXX</w:t>
      </w:r>
      <w:r>
        <w:rPr>
          <w:rFonts w:ascii="Arial" w:hAnsi="Arial" w:cs="Arial"/>
          <w:color w:val="000000"/>
        </w:rPr>
        <w:t xml:space="preserve">, no mês de outubro de 2018, tendo </w:t>
      </w:r>
      <w:proofErr w:type="gramStart"/>
      <w:r>
        <w:rPr>
          <w:rFonts w:ascii="Arial" w:hAnsi="Arial" w:cs="Arial"/>
          <w:color w:val="000000"/>
        </w:rPr>
        <w:t>pago</w:t>
      </w:r>
      <w:proofErr w:type="gramEnd"/>
      <w:r>
        <w:rPr>
          <w:rFonts w:ascii="Arial" w:hAnsi="Arial" w:cs="Arial"/>
          <w:color w:val="000000"/>
        </w:rPr>
        <w:t xml:space="preserve"> a quantia de R$ 2.000,00 (dois mil reais).</w:t>
      </w:r>
    </w:p>
    <w:p w14:paraId="3743E525" w14:textId="77777777" w:rsidR="00B92A9C" w:rsidRDefault="00F32D62">
      <w:pPr>
        <w:pStyle w:val="Standard"/>
        <w:spacing w:after="142" w:line="360" w:lineRule="auto"/>
        <w:ind w:firstLine="1134"/>
        <w:jc w:val="both"/>
      </w:pPr>
      <w:r>
        <w:rPr>
          <w:rFonts w:ascii="Arial" w:hAnsi="Arial" w:cs="Arial"/>
          <w:color w:val="000000"/>
        </w:rPr>
        <w:t xml:space="preserve">Entrementes, o adolescente decidiu vender a motocicleta, ocasião em que contou com a ajuda do amigo </w:t>
      </w:r>
      <w:r w:rsidR="00087AC4">
        <w:rPr>
          <w:rStyle w:val="Fontepargpadro1"/>
          <w:rFonts w:ascii="Arial" w:eastAsia="Times New Roman" w:hAnsi="Arial" w:cs="Arial"/>
          <w:b/>
          <w:bCs/>
          <w:color w:val="000000"/>
        </w:rPr>
        <w:t>XXXXXX</w:t>
      </w:r>
      <w:r>
        <w:rPr>
          <w:rFonts w:ascii="Arial" w:hAnsi="Arial" w:cs="Arial"/>
          <w:color w:val="000000"/>
        </w:rPr>
        <w:t xml:space="preserve">, que anunciou a motocicleta na aludida </w:t>
      </w:r>
      <w:r>
        <w:rPr>
          <w:rFonts w:ascii="Arial" w:hAnsi="Arial" w:cs="Arial"/>
          <w:color w:val="000000"/>
        </w:rPr>
        <w:lastRenderedPageBreak/>
        <w:t>plataforma.</w:t>
      </w:r>
    </w:p>
    <w:p w14:paraId="42BA874C" w14:textId="5B4052AC" w:rsidR="00B92A9C" w:rsidRDefault="00F32D62">
      <w:pPr>
        <w:pStyle w:val="Standard"/>
        <w:spacing w:after="142" w:line="360" w:lineRule="auto"/>
        <w:ind w:firstLine="1134"/>
        <w:jc w:val="both"/>
      </w:pPr>
      <w:r>
        <w:rPr>
          <w:rFonts w:ascii="Arial" w:hAnsi="Arial" w:cs="Arial"/>
          <w:color w:val="000000"/>
        </w:rPr>
        <w:t xml:space="preserve">Ocorre que no dia </w:t>
      </w:r>
      <w:proofErr w:type="spellStart"/>
      <w:r w:rsidR="00BC07FE">
        <w:rPr>
          <w:rFonts w:ascii="Arial" w:hAnsi="Arial" w:cs="Arial"/>
          <w:color w:val="000000"/>
        </w:rPr>
        <w:t>xxxxxxx</w:t>
      </w:r>
      <w:proofErr w:type="spellEnd"/>
      <w:r>
        <w:rPr>
          <w:rFonts w:ascii="Arial" w:hAnsi="Arial" w:cs="Arial"/>
          <w:color w:val="000000"/>
        </w:rPr>
        <w:t xml:space="preserve"> do ano corrente, ao consultar a página do “</w:t>
      </w:r>
      <w:proofErr w:type="spellStart"/>
      <w:r>
        <w:rPr>
          <w:rFonts w:ascii="Arial" w:hAnsi="Arial" w:cs="Arial"/>
          <w:color w:val="000000"/>
        </w:rPr>
        <w:t>Olx</w:t>
      </w:r>
      <w:proofErr w:type="spellEnd"/>
      <w:r>
        <w:rPr>
          <w:rFonts w:ascii="Arial" w:hAnsi="Arial" w:cs="Arial"/>
          <w:color w:val="000000"/>
        </w:rPr>
        <w:t xml:space="preserve">”, a vítima </w:t>
      </w:r>
      <w:r w:rsidR="00087AC4">
        <w:rPr>
          <w:rStyle w:val="Fontepargpadro1"/>
          <w:rFonts w:ascii="Arial" w:eastAsia="Times New Roman" w:hAnsi="Arial" w:cs="Arial"/>
          <w:b/>
          <w:bCs/>
          <w:color w:val="000000"/>
        </w:rPr>
        <w:t xml:space="preserve">XXXXXX </w:t>
      </w:r>
      <w:r>
        <w:rPr>
          <w:rFonts w:ascii="Arial" w:hAnsi="Arial" w:cs="Arial"/>
          <w:color w:val="000000"/>
        </w:rPr>
        <w:t xml:space="preserve">avistou o anúncio da nominada motocicleta, oportunidade em que reconheceu o veículo de sua propriedade. Diante disso, visando recuperar seu veículo que fora subtraído, a vítima simulou, através do aplicativo, interesse em adquirir a motocicleta e combinou encontro com o ofertante, na mesma data, em frente ao Hospital São Rafael. </w:t>
      </w:r>
    </w:p>
    <w:p w14:paraId="08E533B2" w14:textId="77777777" w:rsidR="00B92A9C" w:rsidRDefault="00F32D62">
      <w:pPr>
        <w:pStyle w:val="Standard"/>
        <w:spacing w:after="142" w:line="360" w:lineRule="auto"/>
        <w:ind w:firstLine="1134"/>
        <w:jc w:val="both"/>
      </w:pPr>
      <w:r>
        <w:rPr>
          <w:rFonts w:ascii="Arial" w:hAnsi="Arial" w:cs="Arial"/>
          <w:color w:val="000000"/>
        </w:rPr>
        <w:t>Já no local e momento do encontro, policiais militares foram acionados pela vítima e informados dos fatos sob apuração.</w:t>
      </w:r>
    </w:p>
    <w:p w14:paraId="5BFCF945" w14:textId="77777777" w:rsidR="00B92A9C" w:rsidRDefault="00F32D62">
      <w:pPr>
        <w:pStyle w:val="Standard"/>
        <w:spacing w:after="142" w:line="360" w:lineRule="auto"/>
        <w:ind w:firstLine="1134"/>
        <w:jc w:val="both"/>
      </w:pPr>
      <w:r>
        <w:rPr>
          <w:rFonts w:ascii="Arial" w:hAnsi="Arial" w:cs="Arial"/>
          <w:color w:val="000000"/>
        </w:rPr>
        <w:t>Diante dos fatos, o adolescente foi flagrado com a motocicleta subtraída sob seu poder e, por conseguinte, apresentado pelos policiais militares à Delegacia para o Adolescente Infrator – DAI, onde foi ouvido.</w:t>
      </w:r>
    </w:p>
    <w:p w14:paraId="12F3C275" w14:textId="77777777" w:rsidR="00B92A9C" w:rsidRDefault="00F32D62">
      <w:pPr>
        <w:pStyle w:val="Standard"/>
        <w:spacing w:after="142" w:line="360" w:lineRule="auto"/>
        <w:ind w:firstLine="1134"/>
        <w:jc w:val="both"/>
      </w:pPr>
      <w:r>
        <w:rPr>
          <w:rFonts w:ascii="Arial" w:hAnsi="Arial"/>
          <w:color w:val="000000"/>
        </w:rPr>
        <w:t>Após as pertinentes apurações policiais, o adolescente, foi apresentado ao Ministério Público e, nos termos do artigo 179 da Lei 8069/90, ouvido informalmente.</w:t>
      </w:r>
    </w:p>
    <w:p w14:paraId="2C77B5AE" w14:textId="77777777" w:rsidR="00B92A9C" w:rsidRDefault="00F32D62">
      <w:pPr>
        <w:pStyle w:val="Standard"/>
        <w:spacing w:after="142" w:line="360" w:lineRule="auto"/>
        <w:ind w:firstLine="1134"/>
        <w:jc w:val="both"/>
      </w:pPr>
      <w:r>
        <w:rPr>
          <w:rFonts w:ascii="Arial" w:hAnsi="Arial" w:cs="Arial"/>
          <w:color w:val="000000" w:themeColor="text1"/>
        </w:rPr>
        <w:t xml:space="preserve">Verifica-se dos autos, todavia, </w:t>
      </w:r>
      <w:r>
        <w:rPr>
          <w:rFonts w:ascii="Arial" w:hAnsi="Arial" w:cs="Arial"/>
          <w:color w:val="000000"/>
        </w:rPr>
        <w:t xml:space="preserve">que o adolescente, ao adquirir a motocicleta subtraída, recebeu um Documento Auxiliar de Nota Fiscal Eletrônica (DANFE), supostamente emitido pela empresa “Ciclo Motos”, circunstância que descaracteriza a suposta má-fé de sua conduta. </w:t>
      </w:r>
    </w:p>
    <w:p w14:paraId="0781B060" w14:textId="77777777" w:rsidR="00B92A9C" w:rsidRDefault="00F32D62">
      <w:pPr>
        <w:pStyle w:val="Standard"/>
        <w:spacing w:after="142" w:line="360" w:lineRule="auto"/>
        <w:ind w:firstLine="1134"/>
        <w:jc w:val="both"/>
      </w:pPr>
      <w:r>
        <w:rPr>
          <w:rFonts w:ascii="Arial" w:hAnsi="Arial" w:cs="Arial"/>
          <w:color w:val="000000"/>
        </w:rPr>
        <w:t>Lecionando sobre o elemento subjetivo da infração penal receptação, afirma PRADO (2018)</w:t>
      </w:r>
      <w:r>
        <w:rPr>
          <w:rStyle w:val="ncoradanotaderodap"/>
          <w:rFonts w:ascii="Arial" w:hAnsi="Arial" w:cs="Arial"/>
          <w:color w:val="000000"/>
        </w:rPr>
        <w:footnoteReference w:id="1"/>
      </w:r>
      <w:r>
        <w:rPr>
          <w:rFonts w:ascii="Arial" w:hAnsi="Arial" w:cs="Arial"/>
          <w:color w:val="000000"/>
        </w:rPr>
        <w:t>:</w:t>
      </w:r>
    </w:p>
    <w:p w14:paraId="15581663" w14:textId="77777777" w:rsidR="00B92A9C" w:rsidRDefault="00F32D62">
      <w:pPr>
        <w:pStyle w:val="Standard"/>
        <w:spacing w:after="142"/>
        <w:ind w:left="2268"/>
        <w:jc w:val="both"/>
        <w:rPr>
          <w:rFonts w:ascii="Arial" w:hAnsi="Arial" w:cs="Arial"/>
          <w:color w:val="000000"/>
          <w:sz w:val="22"/>
          <w:szCs w:val="22"/>
        </w:rPr>
      </w:pPr>
      <w:r>
        <w:rPr>
          <w:rFonts w:ascii="Arial" w:hAnsi="Arial" w:cs="Arial"/>
          <w:color w:val="000000"/>
          <w:sz w:val="22"/>
          <w:szCs w:val="22"/>
          <w:shd w:val="clear" w:color="auto" w:fill="FFFFFF"/>
        </w:rPr>
        <w:t>“O</w:t>
      </w:r>
      <w:r>
        <w:rPr>
          <w:rFonts w:ascii="Arial" w:hAnsi="Arial" w:cs="Arial"/>
          <w:i/>
          <w:iCs/>
          <w:color w:val="000000"/>
          <w:sz w:val="22"/>
          <w:szCs w:val="22"/>
          <w:shd w:val="clear" w:color="auto" w:fill="FFFFFF"/>
        </w:rPr>
        <w:t> tipo subjetivo </w:t>
      </w:r>
      <w:r>
        <w:rPr>
          <w:rFonts w:ascii="Arial" w:hAnsi="Arial" w:cs="Arial"/>
          <w:color w:val="000000"/>
          <w:sz w:val="22"/>
          <w:szCs w:val="22"/>
          <w:shd w:val="clear" w:color="auto" w:fill="FFFFFF"/>
        </w:rPr>
        <w:t xml:space="preserve">está representado pelo dolo, que, no caso, compreende a consciência e vontade de adquirir, receber, transportar, conduzir ou ocultar a coisa, com </w:t>
      </w:r>
      <w:r>
        <w:rPr>
          <w:rFonts w:ascii="Arial" w:hAnsi="Arial" w:cs="Arial"/>
          <w:b/>
          <w:color w:val="000000"/>
          <w:sz w:val="22"/>
          <w:szCs w:val="22"/>
          <w:shd w:val="clear" w:color="auto" w:fill="FFFFFF"/>
        </w:rPr>
        <w:t>pleno conhecimento da sua origem criminosa</w:t>
      </w:r>
      <w:r>
        <w:rPr>
          <w:rFonts w:ascii="Arial" w:hAnsi="Arial" w:cs="Arial"/>
          <w:color w:val="000000"/>
          <w:sz w:val="22"/>
          <w:szCs w:val="22"/>
          <w:shd w:val="clear" w:color="auto" w:fill="FFFFFF"/>
        </w:rPr>
        <w:t xml:space="preserve"> ou de influir para que terceiro, pessoa de boa-fé, adquira, receba ou oculte a coisa, em tal condição. [...] Exige-se, ainda, </w:t>
      </w:r>
      <w:r>
        <w:rPr>
          <w:rFonts w:ascii="Arial" w:hAnsi="Arial" w:cs="Arial"/>
          <w:b/>
          <w:color w:val="000000"/>
          <w:sz w:val="22"/>
          <w:szCs w:val="22"/>
          <w:shd w:val="clear" w:color="auto" w:fill="FFFFFF"/>
        </w:rPr>
        <w:t>o</w:t>
      </w:r>
      <w:r>
        <w:rPr>
          <w:rFonts w:ascii="Arial" w:hAnsi="Arial" w:cs="Arial"/>
          <w:b/>
          <w:i/>
          <w:iCs/>
          <w:color w:val="000000"/>
          <w:sz w:val="22"/>
          <w:szCs w:val="22"/>
          <w:shd w:val="clear" w:color="auto" w:fill="FFFFFF"/>
        </w:rPr>
        <w:t> elemento subjetivo do injusto </w:t>
      </w:r>
      <w:r>
        <w:rPr>
          <w:rFonts w:ascii="Arial" w:hAnsi="Arial" w:cs="Arial"/>
          <w:b/>
          <w:color w:val="000000"/>
          <w:sz w:val="22"/>
          <w:szCs w:val="22"/>
          <w:shd w:val="clear" w:color="auto" w:fill="FFFFFF"/>
        </w:rPr>
        <w:t>consubstanciado no fim de obter proveito ilícito para o próprio agente ou para outrem</w:t>
      </w:r>
      <w:r>
        <w:rPr>
          <w:rFonts w:ascii="Arial" w:hAnsi="Arial" w:cs="Arial"/>
          <w:color w:val="000000"/>
          <w:sz w:val="22"/>
          <w:szCs w:val="22"/>
          <w:shd w:val="clear" w:color="auto" w:fill="FFFFFF"/>
        </w:rPr>
        <w:t>. É o fim especial de agir que distingue a receptação do favorecimento real (art. 349), visto que nesse delito o agente tem por escopo apenas auxiliar o autor do crime antecedente, sem</w:t>
      </w:r>
      <w:r>
        <w:rPr>
          <w:rFonts w:ascii="Arial" w:hAnsi="Arial" w:cs="Arial"/>
          <w:i/>
          <w:iCs/>
          <w:color w:val="000000"/>
          <w:sz w:val="22"/>
          <w:szCs w:val="22"/>
          <w:shd w:val="clear" w:color="auto" w:fill="FFFFFF"/>
        </w:rPr>
        <w:t xml:space="preserve"> animus </w:t>
      </w:r>
      <w:proofErr w:type="spellStart"/>
      <w:r>
        <w:rPr>
          <w:rFonts w:ascii="Arial" w:hAnsi="Arial" w:cs="Arial"/>
          <w:i/>
          <w:iCs/>
          <w:color w:val="000000"/>
          <w:sz w:val="22"/>
          <w:szCs w:val="22"/>
          <w:shd w:val="clear" w:color="auto" w:fill="FFFFFF"/>
        </w:rPr>
        <w:t>lucrandi</w:t>
      </w:r>
      <w:proofErr w:type="spellEnd"/>
      <w:r>
        <w:rPr>
          <w:rFonts w:ascii="Arial" w:hAnsi="Arial" w:cs="Arial"/>
          <w:color w:val="000000"/>
          <w:sz w:val="22"/>
          <w:szCs w:val="22"/>
          <w:shd w:val="clear" w:color="auto" w:fill="FFFFFF"/>
        </w:rPr>
        <w:t>.</w:t>
      </w:r>
      <w:r>
        <w:rPr>
          <w:rFonts w:ascii="Arial" w:hAnsi="Arial" w:cs="Arial"/>
          <w:color w:val="000000"/>
          <w:sz w:val="22"/>
          <w:szCs w:val="22"/>
        </w:rPr>
        <w:t xml:space="preserve">” Grifos nossos. </w:t>
      </w:r>
    </w:p>
    <w:p w14:paraId="6F5FA0B0" w14:textId="77777777" w:rsidR="00B92A9C" w:rsidRDefault="00B92A9C">
      <w:pPr>
        <w:pStyle w:val="Standard"/>
        <w:spacing w:after="142"/>
        <w:ind w:firstLine="1418"/>
        <w:jc w:val="both"/>
        <w:rPr>
          <w:rFonts w:ascii="Arial" w:hAnsi="Arial" w:cs="Arial"/>
          <w:color w:val="000000"/>
        </w:rPr>
      </w:pPr>
    </w:p>
    <w:p w14:paraId="42A48024" w14:textId="77777777" w:rsidR="00B92A9C" w:rsidRDefault="00F32D62">
      <w:pPr>
        <w:pStyle w:val="Standard"/>
        <w:spacing w:after="142" w:line="360" w:lineRule="auto"/>
        <w:ind w:firstLine="1134"/>
        <w:jc w:val="both"/>
      </w:pPr>
      <w:r>
        <w:rPr>
          <w:rFonts w:ascii="Arial" w:hAnsi="Arial" w:cs="Arial"/>
          <w:i/>
          <w:iCs/>
          <w:color w:val="000000"/>
        </w:rPr>
        <w:t>In casu</w:t>
      </w:r>
      <w:r>
        <w:rPr>
          <w:rFonts w:ascii="Arial" w:hAnsi="Arial" w:cs="Arial"/>
          <w:color w:val="000000"/>
        </w:rPr>
        <w:t xml:space="preserve">, malgrado a aquisição do veículo ter ocorrido de maneira informal, as peças informativas trazem indícios acerca da boa-fé do adolescente, inexistindo </w:t>
      </w:r>
      <w:r>
        <w:rPr>
          <w:rFonts w:ascii="Arial" w:hAnsi="Arial" w:cs="Arial"/>
          <w:color w:val="000000"/>
        </w:rPr>
        <w:lastRenderedPageBreak/>
        <w:t xml:space="preserve">evidências do conhecimento da origem ilícita da motocicleta. </w:t>
      </w:r>
    </w:p>
    <w:p w14:paraId="3BD4B6D3" w14:textId="77777777" w:rsidR="00B92A9C" w:rsidRDefault="00F32D62">
      <w:pPr>
        <w:pStyle w:val="Standard"/>
        <w:spacing w:after="142" w:line="360" w:lineRule="auto"/>
        <w:ind w:firstLine="1134"/>
        <w:jc w:val="both"/>
      </w:pPr>
      <w:r>
        <w:rPr>
          <w:rFonts w:ascii="Arial" w:hAnsi="Arial" w:cs="Arial"/>
          <w:color w:val="000000"/>
        </w:rPr>
        <w:t>Diante disso, porque há, no mínimo, dúvida quanto ao elemento subjetivo de sua conduta, não se pode atribuir ao adolescente a prática de receptação. Nesse sentido, jurisprudência:</w:t>
      </w:r>
    </w:p>
    <w:p w14:paraId="6A769D02" w14:textId="77777777" w:rsidR="00B92A9C" w:rsidRDefault="00F32D62">
      <w:pPr>
        <w:pStyle w:val="Standard"/>
        <w:spacing w:after="142"/>
        <w:ind w:left="2268"/>
        <w:jc w:val="both"/>
      </w:pPr>
      <w:r>
        <w:rPr>
          <w:rStyle w:val="firstementa"/>
          <w:rFonts w:ascii="Arial" w:hAnsi="Arial" w:cs="Arial"/>
          <w:color w:val="000000"/>
          <w:sz w:val="22"/>
          <w:szCs w:val="22"/>
          <w:shd w:val="clear" w:color="auto" w:fill="FFFFFF"/>
        </w:rPr>
        <w:t>APELAÇÃO CRIME. </w:t>
      </w:r>
      <w:r>
        <w:rPr>
          <w:rStyle w:val="marcapalavra"/>
          <w:rFonts w:ascii="Arial" w:hAnsi="Arial" w:cs="Arial"/>
          <w:color w:val="000000"/>
          <w:sz w:val="22"/>
          <w:szCs w:val="22"/>
          <w:shd w:val="clear" w:color="auto" w:fill="FFFFFF"/>
        </w:rPr>
        <w:t>RECEPTAÇÃO</w:t>
      </w:r>
      <w:r>
        <w:rPr>
          <w:rStyle w:val="firstementa"/>
          <w:rFonts w:ascii="Arial" w:hAnsi="Arial" w:cs="Arial"/>
          <w:color w:val="000000"/>
          <w:sz w:val="22"/>
          <w:szCs w:val="22"/>
          <w:shd w:val="clear" w:color="auto" w:fill="FFFFFF"/>
        </w:rPr>
        <w:t xml:space="preserve">. MATERIALIDADE COMPROVADA. AUTORIA DUVIDOSA. ABSOLVIÇÃO PELA APLICAÇÃO DO PRINCÍPIO DO IN DUBIO PRO REO. Da análise das provas produzidas, </w:t>
      </w:r>
      <w:r>
        <w:rPr>
          <w:rStyle w:val="firstementa"/>
          <w:rFonts w:ascii="Arial" w:hAnsi="Arial" w:cs="Arial"/>
          <w:b/>
          <w:color w:val="000000"/>
          <w:sz w:val="22"/>
          <w:szCs w:val="22"/>
          <w:shd w:val="clear" w:color="auto" w:fill="FFFFFF"/>
        </w:rPr>
        <w:t>verifica-se que não há prova efetiva de que os apelantes tivessem ciência da origem espúria dos bens,</w:t>
      </w:r>
      <w:r>
        <w:rPr>
          <w:rFonts w:ascii="Arial" w:hAnsi="Arial" w:cs="Arial"/>
          <w:b/>
          <w:color w:val="000000"/>
          <w:sz w:val="22"/>
          <w:szCs w:val="22"/>
          <w:shd w:val="clear" w:color="auto" w:fill="FFFFFF"/>
        </w:rPr>
        <w:t> </w:t>
      </w:r>
      <w:r>
        <w:rPr>
          <w:rStyle w:val="hidden"/>
          <w:rFonts w:ascii="Arial" w:hAnsi="Arial" w:cs="Arial"/>
          <w:b/>
          <w:color w:val="000000"/>
          <w:sz w:val="22"/>
          <w:szCs w:val="22"/>
          <w:shd w:val="clear" w:color="auto" w:fill="FFFFFF"/>
        </w:rPr>
        <w:t>ainda que haja indícios</w:t>
      </w:r>
      <w:r>
        <w:rPr>
          <w:rStyle w:val="hidden"/>
          <w:rFonts w:ascii="Arial" w:hAnsi="Arial" w:cs="Arial"/>
          <w:color w:val="000000"/>
          <w:sz w:val="22"/>
          <w:szCs w:val="22"/>
          <w:shd w:val="clear" w:color="auto" w:fill="FFFFFF"/>
        </w:rPr>
        <w:t xml:space="preserve">. [...] Embora existam indícios sobre a prática do crime pelos réus, para uma condenação é necessário mais que isso. A simples dúvida lhes favorece. Portanto, os indícios não se mostram convincentes para um decreto condenatório. Uma condenação deve ser amparada em elementos sólidos, incontestáveis, alicerçados em dados concretos, devidamente comprovados no contexto probatório, o que não é o caso dos autos, devendo ser decretada a absolvição, em homenagem ao princípio vigente na seara penal - in dubio pro reo. APELAÇÕES PROVIDAS. ABSOLVIÇÃO DECRETADA. (Apelação Crime Nº 70077768778, Sexta Câmara Criminal, Tribunal de Justiça do RS, Relator: Vanderlei Teresinha </w:t>
      </w:r>
      <w:proofErr w:type="spellStart"/>
      <w:r>
        <w:rPr>
          <w:rStyle w:val="hidden"/>
          <w:rFonts w:ascii="Arial" w:hAnsi="Arial" w:cs="Arial"/>
          <w:color w:val="000000"/>
          <w:sz w:val="22"/>
          <w:szCs w:val="22"/>
          <w:shd w:val="clear" w:color="auto" w:fill="FFFFFF"/>
        </w:rPr>
        <w:t>Tremeia</w:t>
      </w:r>
      <w:proofErr w:type="spellEnd"/>
      <w:r>
        <w:rPr>
          <w:rStyle w:val="hidden"/>
          <w:rFonts w:ascii="Arial" w:hAnsi="Arial" w:cs="Arial"/>
          <w:color w:val="000000"/>
          <w:sz w:val="22"/>
          <w:szCs w:val="22"/>
          <w:shd w:val="clear" w:color="auto" w:fill="FFFFFF"/>
        </w:rPr>
        <w:t xml:space="preserve"> </w:t>
      </w:r>
      <w:proofErr w:type="spellStart"/>
      <w:r>
        <w:rPr>
          <w:rStyle w:val="hidden"/>
          <w:rFonts w:ascii="Arial" w:hAnsi="Arial" w:cs="Arial"/>
          <w:color w:val="000000"/>
          <w:sz w:val="22"/>
          <w:szCs w:val="22"/>
          <w:shd w:val="clear" w:color="auto" w:fill="FFFFFF"/>
        </w:rPr>
        <w:t>Kubiak</w:t>
      </w:r>
      <w:proofErr w:type="spellEnd"/>
      <w:r>
        <w:rPr>
          <w:rStyle w:val="hidden"/>
          <w:rFonts w:ascii="Arial" w:hAnsi="Arial" w:cs="Arial"/>
          <w:color w:val="000000"/>
          <w:sz w:val="22"/>
          <w:szCs w:val="22"/>
          <w:shd w:val="clear" w:color="auto" w:fill="FFFFFF"/>
        </w:rPr>
        <w:t>, Julgado em 27/11/2018).</w:t>
      </w:r>
    </w:p>
    <w:p w14:paraId="63724631" w14:textId="77777777" w:rsidR="00B92A9C" w:rsidRDefault="00F32D62">
      <w:pPr>
        <w:pStyle w:val="Standard"/>
        <w:spacing w:after="142"/>
        <w:ind w:left="2268"/>
        <w:jc w:val="both"/>
      </w:pPr>
      <w:r>
        <w:rPr>
          <w:rStyle w:val="hidden"/>
          <w:rFonts w:ascii="Arial" w:hAnsi="Arial" w:cs="Arial"/>
          <w:color w:val="000000"/>
          <w:sz w:val="22"/>
          <w:szCs w:val="22"/>
          <w:highlight w:val="white"/>
        </w:rPr>
        <w:t xml:space="preserve">PENAL. RECEPTAÇÃO. </w:t>
      </w:r>
      <w:r>
        <w:rPr>
          <w:rStyle w:val="hidden"/>
          <w:rFonts w:ascii="Arial" w:hAnsi="Arial" w:cs="Arial"/>
          <w:b/>
          <w:bCs/>
          <w:color w:val="000000"/>
          <w:sz w:val="22"/>
          <w:szCs w:val="22"/>
          <w:highlight w:val="white"/>
        </w:rPr>
        <w:t>AUSÊNCIA DE PROVA DO DOLO. INDÍCIOS DE BOA-FÉ DO APELADO.</w:t>
      </w:r>
      <w:r>
        <w:rPr>
          <w:rStyle w:val="hidden"/>
          <w:rFonts w:ascii="Arial" w:hAnsi="Arial" w:cs="Arial"/>
          <w:color w:val="000000"/>
          <w:sz w:val="22"/>
          <w:szCs w:val="22"/>
          <w:highlight w:val="white"/>
        </w:rPr>
        <w:t xml:space="preserve"> DIREÇÃO SEM HABILITAÇÃO. C</w:t>
      </w:r>
      <w:r>
        <w:rPr>
          <w:rStyle w:val="hidden"/>
          <w:rFonts w:ascii="Arial" w:hAnsi="Arial" w:cs="Arial"/>
          <w:color w:val="333333"/>
          <w:sz w:val="22"/>
          <w:szCs w:val="22"/>
          <w:highlight w:val="white"/>
        </w:rPr>
        <w:t>ONFIGURAÇÃO DA INFRAÇÃO PENAL. PERIGO CONCRETO. IMPRESCINDIBILIDADE. RECURSO IMPROVIDO.</w:t>
      </w:r>
      <w:r>
        <w:rPr>
          <w:rStyle w:val="hidden"/>
          <w:rFonts w:ascii="Arial" w:hAnsi="Arial" w:cs="Arial"/>
          <w:color w:val="000000"/>
          <w:sz w:val="22"/>
          <w:szCs w:val="22"/>
          <w:highlight w:val="white"/>
        </w:rPr>
        <w:t xml:space="preserve"> (Apelação Criminal nº </w:t>
      </w:r>
      <w:r>
        <w:rPr>
          <w:rStyle w:val="hidden"/>
          <w:rFonts w:ascii="Arial" w:hAnsi="Arial" w:cs="Arial"/>
          <w:color w:val="333333"/>
          <w:sz w:val="22"/>
          <w:szCs w:val="22"/>
          <w:highlight w:val="white"/>
        </w:rPr>
        <w:t> </w:t>
      </w:r>
      <w:r>
        <w:rPr>
          <w:rStyle w:val="hidden"/>
          <w:rFonts w:ascii="Helvetica;arial;sans-serif" w:hAnsi="Helvetica;arial;sans-serif" w:cs="Arial"/>
          <w:color w:val="2F2F0F"/>
          <w:sz w:val="20"/>
          <w:szCs w:val="22"/>
          <w:highlight w:val="white"/>
        </w:rPr>
        <w:t>1.0024.04.299786-6/001</w:t>
      </w:r>
      <w:r>
        <w:rPr>
          <w:rStyle w:val="hidden"/>
          <w:rFonts w:ascii="Arial" w:hAnsi="Arial" w:cs="Arial"/>
          <w:color w:val="333333"/>
          <w:sz w:val="22"/>
          <w:szCs w:val="22"/>
          <w:highlight w:val="white"/>
        </w:rPr>
        <w:t xml:space="preserve">, 5ª Câmara Criminal do TJ/MG. Relator: Hélcio Valentim. </w:t>
      </w:r>
      <w:proofErr w:type="spellStart"/>
      <w:r>
        <w:rPr>
          <w:rStyle w:val="hidden"/>
          <w:rFonts w:ascii="Arial" w:hAnsi="Arial" w:cs="Arial"/>
          <w:color w:val="333333"/>
          <w:sz w:val="22"/>
          <w:szCs w:val="22"/>
          <w:highlight w:val="white"/>
        </w:rPr>
        <w:t>Julg</w:t>
      </w:r>
      <w:proofErr w:type="spellEnd"/>
      <w:r>
        <w:rPr>
          <w:rStyle w:val="hidden"/>
          <w:rFonts w:ascii="Arial" w:hAnsi="Arial" w:cs="Arial"/>
          <w:color w:val="333333"/>
          <w:sz w:val="22"/>
          <w:szCs w:val="22"/>
          <w:highlight w:val="white"/>
        </w:rPr>
        <w:t xml:space="preserve">. 17/04/2007. pub 28/04/2007. </w:t>
      </w:r>
    </w:p>
    <w:p w14:paraId="31FBB84B" w14:textId="77777777" w:rsidR="00B92A9C" w:rsidRDefault="00B92A9C">
      <w:pPr>
        <w:pStyle w:val="Standard"/>
        <w:spacing w:after="142"/>
        <w:ind w:left="2268"/>
        <w:jc w:val="both"/>
        <w:rPr>
          <w:rFonts w:ascii="Arial" w:hAnsi="Arial" w:cs="Arial"/>
          <w:color w:val="000000"/>
          <w:sz w:val="22"/>
          <w:szCs w:val="22"/>
        </w:rPr>
      </w:pPr>
    </w:p>
    <w:p w14:paraId="20D9DDB4" w14:textId="77777777" w:rsidR="00B92A9C" w:rsidRDefault="00F32D62">
      <w:pPr>
        <w:pStyle w:val="Standard"/>
        <w:spacing w:after="142" w:line="360" w:lineRule="auto"/>
        <w:jc w:val="both"/>
      </w:pPr>
      <w:r>
        <w:rPr>
          <w:rFonts w:ascii="Arial" w:hAnsi="Arial" w:cs="Arial"/>
          <w:color w:val="000000"/>
        </w:rPr>
        <w:tab/>
      </w:r>
      <w:r>
        <w:rPr>
          <w:rFonts w:ascii="Arial" w:hAnsi="Arial" w:cs="Arial"/>
          <w:color w:val="000000"/>
        </w:rPr>
        <w:tab/>
        <w:t xml:space="preserve">Por outro lado, também não há que se falar de cometimento da modalidade culposa da infração penal receptação, descrita no art. 180, §3º, do Código Penal, tendo em conta que não houve desproporção entre o valor da motocicleta em tela – usada, ano 2013, registre – e a quantia paga, nem foram colhidos indícios que permitam afirmar ter a compra se dado em condições que autorizassem supor a origem ilícita da coisa vendida ao adolescente. </w:t>
      </w:r>
    </w:p>
    <w:p w14:paraId="611B0EAA" w14:textId="77777777" w:rsidR="00B92A9C" w:rsidRDefault="00F32D62">
      <w:pPr>
        <w:pStyle w:val="Corpodetexto"/>
        <w:overflowPunct w:val="0"/>
        <w:spacing w:after="113" w:line="360" w:lineRule="auto"/>
        <w:ind w:firstLine="1134"/>
        <w:jc w:val="both"/>
      </w:pPr>
      <w:r>
        <w:rPr>
          <w:rFonts w:ascii="Arial" w:hAnsi="Arial" w:cs="Times New Roman"/>
          <w:color w:val="000000"/>
        </w:rPr>
        <w:t>Assim, carecem os autos de mínimos elementos informativos aptos a sustentarem a afirmação de prática de conduta descrita pela lei como crime ou contravenção.</w:t>
      </w:r>
    </w:p>
    <w:p w14:paraId="660E8C83" w14:textId="77777777" w:rsidR="00B92A9C" w:rsidRDefault="00F32D62">
      <w:pPr>
        <w:pStyle w:val="Corpodetexto"/>
        <w:overflowPunct w:val="0"/>
        <w:spacing w:after="113" w:line="360" w:lineRule="auto"/>
        <w:ind w:firstLine="1134"/>
        <w:jc w:val="both"/>
      </w:pPr>
      <w:r>
        <w:rPr>
          <w:rFonts w:ascii="Arial" w:hAnsi="Arial" w:cs="Times New Roman"/>
          <w:color w:val="000000" w:themeColor="text1"/>
        </w:rPr>
        <w:t xml:space="preserve">Pelo exposto, e considerando que o caso não enseja outras providências no âmbito da Justiça da Infância e Juventude, o MINISTÉRIO PÚBLICO DA BAHIA requer o </w:t>
      </w:r>
      <w:r>
        <w:rPr>
          <w:rFonts w:ascii="Arial" w:hAnsi="Arial" w:cs="Times New Roman"/>
          <w:b/>
          <w:bCs/>
          <w:color w:val="000000" w:themeColor="text1"/>
          <w:u w:val="single"/>
        </w:rPr>
        <w:t>ARQUIVAMENTO</w:t>
      </w:r>
      <w:r>
        <w:rPr>
          <w:rFonts w:ascii="Arial" w:hAnsi="Arial" w:cs="Times New Roman"/>
          <w:color w:val="000000" w:themeColor="text1"/>
        </w:rPr>
        <w:t xml:space="preserve"> destes autos, aguardando que seja </w:t>
      </w:r>
      <w:r>
        <w:rPr>
          <w:rFonts w:ascii="Arial" w:hAnsi="Arial" w:cs="Times New Roman"/>
          <w:b/>
          <w:bCs/>
          <w:color w:val="000000" w:themeColor="text1"/>
        </w:rPr>
        <w:t>HOMOLOGADO</w:t>
      </w:r>
      <w:r>
        <w:rPr>
          <w:rFonts w:ascii="Arial" w:hAnsi="Arial" w:cs="Times New Roman"/>
          <w:color w:val="000000" w:themeColor="text1"/>
        </w:rPr>
        <w:t xml:space="preserve"> por Vossa Excelência, nos termos dos arts. 180, I, 181, § 1º e 189, III (atipicidade), do sobredito diploma legal.</w:t>
      </w:r>
    </w:p>
    <w:p w14:paraId="573167FD" w14:textId="6BBE5CB2" w:rsidR="00B92A9C" w:rsidRDefault="00F32D62">
      <w:pPr>
        <w:pStyle w:val="Standard"/>
        <w:spacing w:after="113" w:line="360" w:lineRule="auto"/>
        <w:ind w:firstLine="1418"/>
        <w:jc w:val="both"/>
      </w:pPr>
      <w:proofErr w:type="spellStart"/>
      <w:r>
        <w:rPr>
          <w:rFonts w:ascii="Arial" w:hAnsi="Arial" w:cs="Arial"/>
          <w:color w:val="000000" w:themeColor="text1"/>
        </w:rPr>
        <w:lastRenderedPageBreak/>
        <w:t>Salvador-BA</w:t>
      </w:r>
      <w:proofErr w:type="spellEnd"/>
      <w:r>
        <w:rPr>
          <w:rFonts w:ascii="Arial" w:hAnsi="Arial" w:cs="Arial"/>
          <w:color w:val="000000" w:themeColor="text1"/>
        </w:rPr>
        <w:t xml:space="preserve">, </w:t>
      </w:r>
      <w:proofErr w:type="spellStart"/>
      <w:r w:rsidR="00BC07FE">
        <w:rPr>
          <w:rFonts w:ascii="Arial" w:hAnsi="Arial" w:cs="Arial"/>
          <w:color w:val="000000" w:themeColor="text1"/>
        </w:rPr>
        <w:t>xxx</w:t>
      </w:r>
      <w:proofErr w:type="spellEnd"/>
      <w:r>
        <w:rPr>
          <w:rFonts w:ascii="Arial" w:hAnsi="Arial" w:cs="Arial"/>
          <w:color w:val="000000" w:themeColor="text1"/>
        </w:rPr>
        <w:t xml:space="preserve"> de </w:t>
      </w:r>
      <w:proofErr w:type="spellStart"/>
      <w:r w:rsidR="00BC07FE">
        <w:rPr>
          <w:rFonts w:ascii="Arial" w:hAnsi="Arial" w:cs="Arial"/>
          <w:color w:val="000000" w:themeColor="text1"/>
        </w:rPr>
        <w:t>xxxx</w:t>
      </w:r>
      <w:proofErr w:type="spellEnd"/>
      <w:r>
        <w:rPr>
          <w:rFonts w:ascii="Arial" w:hAnsi="Arial" w:cs="Arial"/>
          <w:color w:val="000000" w:themeColor="text1"/>
        </w:rPr>
        <w:t xml:space="preserve"> de 20</w:t>
      </w:r>
      <w:r w:rsidR="00BC07FE">
        <w:rPr>
          <w:rFonts w:ascii="Arial" w:hAnsi="Arial" w:cs="Arial"/>
          <w:color w:val="000000" w:themeColor="text1"/>
        </w:rPr>
        <w:t>23</w:t>
      </w:r>
      <w:r>
        <w:rPr>
          <w:rFonts w:ascii="Arial" w:hAnsi="Arial" w:cs="Arial"/>
          <w:color w:val="000000" w:themeColor="text1"/>
        </w:rPr>
        <w:t>.</w:t>
      </w:r>
    </w:p>
    <w:p w14:paraId="1D6F2C0E" w14:textId="77777777" w:rsidR="00B92A9C" w:rsidRDefault="00B92A9C">
      <w:pPr>
        <w:pStyle w:val="Standard"/>
        <w:spacing w:after="142" w:line="360" w:lineRule="auto"/>
        <w:ind w:firstLine="1418"/>
        <w:jc w:val="both"/>
        <w:rPr>
          <w:rFonts w:ascii="Arial" w:hAnsi="Arial" w:cs="Arial"/>
          <w:color w:val="000000" w:themeColor="text1"/>
        </w:rPr>
      </w:pPr>
    </w:p>
    <w:p w14:paraId="4CF9D214" w14:textId="3A6BC139" w:rsidR="00B92A9C" w:rsidRDefault="00BC07FE">
      <w:pPr>
        <w:pStyle w:val="Textbody"/>
        <w:spacing w:after="0" w:line="276" w:lineRule="auto"/>
        <w:jc w:val="center"/>
      </w:pPr>
      <w:r>
        <w:rPr>
          <w:rFonts w:ascii="Arial" w:hAnsi="Arial" w:cs="Arial"/>
          <w:b/>
          <w:bCs/>
          <w:color w:val="000000" w:themeColor="text1"/>
        </w:rPr>
        <w:t>xxxxxxxxxxxx</w:t>
      </w:r>
    </w:p>
    <w:p w14:paraId="26FD1D90" w14:textId="77777777" w:rsidR="00B92A9C" w:rsidRDefault="00F32D62">
      <w:pPr>
        <w:pStyle w:val="Textbody"/>
        <w:spacing w:after="0" w:line="276" w:lineRule="auto"/>
        <w:jc w:val="center"/>
      </w:pPr>
      <w:r>
        <w:rPr>
          <w:rFonts w:ascii="Arial" w:hAnsi="Arial" w:cs="Arial"/>
          <w:color w:val="000000" w:themeColor="text1"/>
          <w:highlight w:val="white"/>
        </w:rPr>
        <w:t>Promotor de Justiça</w:t>
      </w:r>
    </w:p>
    <w:sectPr w:rsidR="00B92A9C">
      <w:headerReference w:type="default" r:id="rId7"/>
      <w:pgSz w:w="11906" w:h="16838"/>
      <w:pgMar w:top="1417" w:right="1134" w:bottom="850"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67BC" w14:textId="77777777" w:rsidR="00380170" w:rsidRDefault="00380170">
      <w:r>
        <w:separator/>
      </w:r>
    </w:p>
  </w:endnote>
  <w:endnote w:type="continuationSeparator" w:id="0">
    <w:p w14:paraId="7E1462DF" w14:textId="77777777" w:rsidR="00380170" w:rsidRDefault="0038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2BBD" w14:textId="77777777" w:rsidR="00380170" w:rsidRDefault="00380170">
      <w:r>
        <w:separator/>
      </w:r>
    </w:p>
  </w:footnote>
  <w:footnote w:type="continuationSeparator" w:id="0">
    <w:p w14:paraId="56023041" w14:textId="77777777" w:rsidR="00380170" w:rsidRDefault="00380170">
      <w:r>
        <w:continuationSeparator/>
      </w:r>
    </w:p>
  </w:footnote>
  <w:footnote w:id="1">
    <w:p w14:paraId="72F99774" w14:textId="77777777" w:rsidR="00B92A9C" w:rsidRDefault="00F32D62">
      <w:pPr>
        <w:pStyle w:val="Textodenotaderodap"/>
      </w:pPr>
      <w:r>
        <w:rPr>
          <w:rStyle w:val="Refdenotaderodap"/>
        </w:rPr>
        <w:footnoteRef/>
      </w:r>
      <w:r>
        <w:rPr>
          <w:rStyle w:val="Refdenotaderodap"/>
        </w:rPr>
        <w:tab/>
      </w:r>
      <w:r>
        <w:t xml:space="preserve"> PRADO, Luiz Régis. Curso de Direito Penal Brasileiro. Vol. II. Parte Especial. 6ª Edição. São Paulo: </w:t>
      </w:r>
      <w:proofErr w:type="spellStart"/>
      <w:r>
        <w:t>Thomsom</w:t>
      </w:r>
      <w:proofErr w:type="spellEnd"/>
      <w:r>
        <w:t xml:space="preserve"> Reuters Brasil, 2018 [livro eletrônico, sem indicação numeração de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5B5" w14:textId="27A72F32" w:rsidR="00BC07FE" w:rsidRDefault="00BC07FE">
    <w:pPr>
      <w:pStyle w:val="Cabealho"/>
    </w:pPr>
    <w:r w:rsidRPr="00BC07FE">
      <w:drawing>
        <wp:anchor distT="0" distB="0" distL="114300" distR="114300" simplePos="0" relativeHeight="251658240" behindDoc="0" locked="0" layoutInCell="1" allowOverlap="1" wp14:anchorId="53CA4803" wp14:editId="675C2A51">
          <wp:simplePos x="0" y="0"/>
          <wp:positionH relativeFrom="column">
            <wp:posOffset>-965835</wp:posOffset>
          </wp:positionH>
          <wp:positionV relativeFrom="paragraph">
            <wp:posOffset>0</wp:posOffset>
          </wp:positionV>
          <wp:extent cx="7331710" cy="910590"/>
          <wp:effectExtent l="0" t="0" r="2540"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31710" cy="910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9C"/>
    <w:rsid w:val="00087AC4"/>
    <w:rsid w:val="00380170"/>
    <w:rsid w:val="00B92A9C"/>
    <w:rsid w:val="00BC07FE"/>
    <w:rsid w:val="00F32D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942B"/>
  <w15:docId w15:val="{0C20538F-33C6-442C-87FE-78A83D66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color w:val="00000A"/>
      <w:sz w:val="24"/>
      <w:szCs w:val="24"/>
      <w:lang w:eastAsia="zh-CN" w:bidi="hi-IN"/>
    </w:rPr>
  </w:style>
  <w:style w:type="paragraph" w:styleId="Ttulo1">
    <w:name w:val="heading 1"/>
    <w:basedOn w:val="Ttulo10"/>
    <w:uiPriority w:val="9"/>
    <w:qFormat/>
    <w:pPr>
      <w:jc w:val="both"/>
      <w:outlineLvl w:val="0"/>
    </w:pPr>
    <w:rPr>
      <w:rFonts w:ascii="Times New Roman" w:hAnsi="Times New Roman" w:cs="Mangal"/>
      <w:szCs w:val="20"/>
    </w:rPr>
  </w:style>
  <w:style w:type="paragraph" w:styleId="Ttulo2">
    <w:name w:val="heading 2"/>
    <w:basedOn w:val="Ttulo10"/>
    <w:uiPriority w:val="9"/>
    <w:semiHidden/>
    <w:unhideWhenUsed/>
    <w:qFormat/>
    <w:pPr>
      <w:ind w:firstLine="851"/>
      <w:jc w:val="both"/>
      <w:outlineLvl w:val="1"/>
    </w:pPr>
    <w:rPr>
      <w:rFonts w:ascii="Times New Roman" w:hAnsi="Times New Roman" w:cs="Mangal"/>
      <w:szCs w:val="20"/>
    </w:rPr>
  </w:style>
  <w:style w:type="paragraph" w:styleId="Ttulo3">
    <w:name w:val="heading 3"/>
    <w:basedOn w:val="Ttulo10"/>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qFormat/>
    <w:rPr>
      <w:color w:val="000080"/>
      <w:u w:val="single"/>
    </w:rPr>
  </w:style>
  <w:style w:type="character" w:customStyle="1" w:styleId="Fontepargpadro2">
    <w:name w:val="Fonte parág. padrão2"/>
    <w:qFormat/>
  </w:style>
  <w:style w:type="character" w:customStyle="1" w:styleId="Fontepargpadro1">
    <w:name w:val="Fonte parág. padrão1"/>
    <w:qFormat/>
  </w:style>
  <w:style w:type="character" w:customStyle="1" w:styleId="TextodenotaderodapChar">
    <w:name w:val="Texto de nota de rodapé Char"/>
    <w:link w:val="Textodenotaderodap"/>
    <w:uiPriority w:val="99"/>
    <w:semiHidden/>
    <w:qFormat/>
    <w:rsid w:val="00230B59"/>
    <w:rPr>
      <w:szCs w:val="18"/>
      <w:lang w:eastAsia="zh-CN" w:bidi="hi-IN"/>
    </w:rPr>
  </w:style>
  <w:style w:type="character" w:styleId="Refdenotaderodap">
    <w:name w:val="footnote reference"/>
    <w:uiPriority w:val="99"/>
    <w:semiHidden/>
    <w:unhideWhenUsed/>
    <w:qFormat/>
    <w:rsid w:val="00230B59"/>
    <w:rPr>
      <w:vertAlign w:val="superscript"/>
    </w:rPr>
  </w:style>
  <w:style w:type="character" w:customStyle="1" w:styleId="firstementa">
    <w:name w:val="firstementa"/>
    <w:basedOn w:val="Fontepargpadro"/>
    <w:qFormat/>
    <w:rsid w:val="000263C4"/>
  </w:style>
  <w:style w:type="character" w:customStyle="1" w:styleId="marcapalavra">
    <w:name w:val="marca_palavra"/>
    <w:basedOn w:val="Fontepargpadro"/>
    <w:qFormat/>
    <w:rsid w:val="000263C4"/>
  </w:style>
  <w:style w:type="character" w:customStyle="1" w:styleId="hidden">
    <w:name w:val="hidden"/>
    <w:basedOn w:val="Fontepargpadro"/>
    <w:qFormat/>
    <w:rsid w:val="000263C4"/>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nkdaInternet">
    <w:name w:val="Link da Internet"/>
    <w:rPr>
      <w:color w:val="000080"/>
      <w:u w:val="single"/>
    </w:rPr>
  </w:style>
  <w:style w:type="paragraph" w:customStyle="1" w:styleId="Ttulo10">
    <w:name w:val="Título1"/>
    <w:basedOn w:val="Normal"/>
    <w:next w:val="Corpodetexto"/>
    <w:qFormat/>
    <w:pPr>
      <w:keepNext/>
      <w:spacing w:before="240" w:after="120"/>
    </w:pPr>
    <w:rPr>
      <w:rFonts w:ascii="Arial" w:hAnsi="Arial" w:cs="Tahoma"/>
      <w:sz w:val="28"/>
      <w:szCs w:val="28"/>
      <w:lang w:eastAsia="pt-BR" w:bidi="ar-SA"/>
    </w:rPr>
  </w:style>
  <w:style w:type="paragraph" w:styleId="Corpodetexto">
    <w:name w:val="Body Text"/>
    <w:basedOn w:val="Normal"/>
    <w:pPr>
      <w:spacing w:after="140" w:line="288" w:lineRule="auto"/>
    </w:pPr>
  </w:style>
  <w:style w:type="paragraph" w:styleId="Lista">
    <w:name w:val="List"/>
    <w:basedOn w:val="Corpodetexto"/>
    <w:rPr>
      <w:rFonts w:cs="Tahoma"/>
      <w:szCs w:val="20"/>
      <w:lang w:eastAsia="pt-BR" w:bidi="ar-SA"/>
    </w:rPr>
  </w:style>
  <w:style w:type="paragraph" w:styleId="Legenda">
    <w:name w:val="caption"/>
    <w:basedOn w:val="Standard"/>
    <w:qFormat/>
    <w:pPr>
      <w:suppressLineNumbers/>
      <w:spacing w:before="120" w:after="120"/>
    </w:pPr>
    <w:rPr>
      <w:rFonts w:cs="Tahoma"/>
      <w:i/>
      <w:iCs/>
      <w:sz w:val="20"/>
      <w:szCs w:val="20"/>
    </w:rPr>
  </w:style>
  <w:style w:type="paragraph" w:customStyle="1" w:styleId="ndice">
    <w:name w:val="Índice"/>
    <w:basedOn w:val="Normal"/>
    <w:qFormat/>
    <w:pPr>
      <w:suppressLineNumbers/>
    </w:pPr>
    <w:rPr>
      <w:rFonts w:cs="Tahoma"/>
      <w:szCs w:val="20"/>
      <w:lang w:eastAsia="pt-BR" w:bidi="ar-SA"/>
    </w:rPr>
  </w:style>
  <w:style w:type="paragraph" w:customStyle="1" w:styleId="Standard">
    <w:name w:val="Standard"/>
    <w:qFormat/>
    <w:pPr>
      <w:widowControl w:val="0"/>
      <w:suppressAutoHyphens/>
      <w:textAlignment w:val="baseline"/>
    </w:pPr>
    <w:rPr>
      <w:rFonts w:eastAsia="Lucida Sans Unicode" w:cs="Times New Roman"/>
      <w:color w:val="00000A"/>
      <w:sz w:val="24"/>
      <w:szCs w:val="24"/>
      <w:lang w:eastAsia="zh-CN"/>
    </w:rPr>
  </w:style>
  <w:style w:type="paragraph" w:customStyle="1" w:styleId="Textbody">
    <w:name w:val="Text body"/>
    <w:basedOn w:val="Standard"/>
    <w:qFormat/>
    <w:pPr>
      <w:spacing w:after="120"/>
    </w:pPr>
    <w:rPr>
      <w:rFonts w:cs="Tahoma"/>
    </w:rPr>
  </w:style>
  <w:style w:type="paragraph" w:customStyle="1" w:styleId="Ttulo11">
    <w:name w:val="Título1"/>
    <w:basedOn w:val="Standard"/>
    <w:qFormat/>
    <w:pPr>
      <w:keepNext/>
      <w:spacing w:before="240" w:after="120"/>
    </w:pPr>
    <w:rPr>
      <w:rFonts w:ascii="Arial" w:eastAsia="MS Mincho" w:hAnsi="Arial" w:cs="Tahoma"/>
      <w:sz w:val="28"/>
      <w:szCs w:val="28"/>
    </w:rPr>
  </w:style>
  <w:style w:type="paragraph" w:styleId="Subttulo">
    <w:name w:val="Subtitle"/>
    <w:basedOn w:val="Ttulo10"/>
    <w:uiPriority w:val="11"/>
    <w:qFormat/>
    <w:pPr>
      <w:jc w:val="center"/>
    </w:pPr>
    <w:rPr>
      <w:i/>
      <w:iCs/>
    </w:rPr>
  </w:style>
  <w:style w:type="paragraph" w:styleId="Rodap">
    <w:name w:val="footer"/>
    <w:basedOn w:val="Standard"/>
    <w:pPr>
      <w:suppressLineNumbers/>
      <w:tabs>
        <w:tab w:val="center" w:pos="4818"/>
        <w:tab w:val="right" w:pos="9637"/>
      </w:tabs>
    </w:pPr>
  </w:style>
  <w:style w:type="paragraph" w:customStyle="1" w:styleId="Citaes">
    <w:name w:val="Citações"/>
    <w:basedOn w:val="Standard"/>
    <w:qFormat/>
    <w:pPr>
      <w:spacing w:after="283"/>
      <w:ind w:left="567" w:right="567"/>
    </w:pPr>
  </w:style>
  <w:style w:type="paragraph" w:customStyle="1" w:styleId="Ttulododocumento">
    <w:name w:val="Título do documento"/>
    <w:basedOn w:val="Ttulo10"/>
    <w:uiPriority w:val="10"/>
    <w:qFormat/>
    <w:pPr>
      <w:jc w:val="center"/>
    </w:pPr>
    <w:rPr>
      <w:b/>
      <w:bCs/>
      <w:sz w:val="36"/>
      <w:szCs w:val="36"/>
    </w:rPr>
  </w:style>
  <w:style w:type="paragraph" w:styleId="Textodenotaderodap">
    <w:name w:val="footnote text"/>
    <w:basedOn w:val="Normal"/>
    <w:link w:val="TextodenotaderodapChar"/>
    <w:uiPriority w:val="99"/>
    <w:semiHidden/>
    <w:unhideWhenUsed/>
    <w:qFormat/>
    <w:rsid w:val="00230B59"/>
    <w:rPr>
      <w:sz w:val="20"/>
      <w:szCs w:val="18"/>
    </w:rPr>
  </w:style>
  <w:style w:type="paragraph" w:customStyle="1" w:styleId="Notaderodap">
    <w:name w:val="Nota de rodapé"/>
    <w:basedOn w:val="Normal"/>
  </w:style>
  <w:style w:type="numbering" w:customStyle="1" w:styleId="WW8Num1">
    <w:name w:val="WW8Num1"/>
    <w:qFormat/>
  </w:style>
  <w:style w:type="paragraph" w:styleId="Cabealho">
    <w:name w:val="header"/>
    <w:basedOn w:val="Normal"/>
    <w:link w:val="CabealhoChar"/>
    <w:uiPriority w:val="99"/>
    <w:unhideWhenUsed/>
    <w:rsid w:val="00BC07FE"/>
    <w:pPr>
      <w:tabs>
        <w:tab w:val="center" w:pos="4252"/>
        <w:tab w:val="right" w:pos="8504"/>
      </w:tabs>
    </w:pPr>
    <w:rPr>
      <w:szCs w:val="21"/>
    </w:rPr>
  </w:style>
  <w:style w:type="character" w:customStyle="1" w:styleId="CabealhoChar">
    <w:name w:val="Cabeçalho Char"/>
    <w:basedOn w:val="Fontepargpadro"/>
    <w:link w:val="Cabealho"/>
    <w:uiPriority w:val="99"/>
    <w:rsid w:val="00BC07FE"/>
    <w:rPr>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PRA18</b:Tag>
    <b:SourceType>Book</b:SourceType>
    <b:Guid>{8F78BBD3-6972-4854-AFD1-E244EF91DD36}</b:Guid>
    <b:Author>
      <b:Author>
        <b:NameList>
          <b:Person>
            <b:Last>PRADO</b:Last>
            <b:First>Luiz</b:First>
            <b:Middle>Régis</b:Middle>
          </b:Person>
        </b:NameList>
      </b:Author>
    </b:Author>
    <b:Title>Curso de Direito Penal Brasileiro. Vol. II. Parte Especial. 6ª Edição</b:Title>
    <b:Year>2018</b:Year>
    <b:City>São Paulo</b:City>
    <b:Publisher>Thomson Reuters Brasil, 2018 [livro eletrônico]</b:Publisher>
    <b:RefOrder>1</b:RefOrder>
  </b:Source>
</b:Sources>
</file>

<file path=customXml/itemProps1.xml><?xml version="1.0" encoding="utf-8"?>
<ds:datastoreItem xmlns:ds="http://schemas.openxmlformats.org/officeDocument/2006/customXml" ds:itemID="{FF0E0D84-0E3E-4C43-81D0-DE7E305C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 Boaventura</dc:creator>
  <cp:lastModifiedBy>Anna Karina Omena Vasconcellos Trennepohl</cp:lastModifiedBy>
  <cp:revision>2</cp:revision>
  <cp:lastPrinted>2015-10-07T15:59:00Z</cp:lastPrinted>
  <dcterms:created xsi:type="dcterms:W3CDTF">2023-02-06T01:02:00Z</dcterms:created>
  <dcterms:modified xsi:type="dcterms:W3CDTF">2023-02-06T01:02:00Z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