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19CE" w:rsidRDefault="00CC19C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02" w14:textId="77777777" w:rsidR="00CC19CE" w:rsidRDefault="00D517FF">
      <w:pPr>
        <w:spacing w:line="360" w:lineRule="auto"/>
        <w:jc w:val="both"/>
      </w:pPr>
      <w:r>
        <w:rPr>
          <w:rFonts w:ascii="Arial" w:eastAsia="Arial" w:hAnsi="Arial" w:cs="Arial"/>
          <w:b/>
          <w:color w:val="000000"/>
        </w:rPr>
        <w:t>EXCELENTÍSSIMO(A) SENHOR(A) DOUTOR(A) JUIZ(A) DE DIREITO DA __ VARA DA INFÂNCIA E JUVENTUDE DA COMARCA DE SALVADOR - BAHIA</w:t>
      </w:r>
    </w:p>
    <w:p w14:paraId="00000003" w14:textId="77777777" w:rsidR="00CC19CE" w:rsidRDefault="00CC19CE">
      <w:pPr>
        <w:spacing w:line="360" w:lineRule="auto"/>
        <w:jc w:val="center"/>
        <w:rPr>
          <w:rFonts w:ascii="Arial" w:eastAsia="Arial" w:hAnsi="Arial" w:cs="Arial"/>
          <w:color w:val="000000"/>
        </w:rPr>
      </w:pPr>
    </w:p>
    <w:p w14:paraId="00000004" w14:textId="77777777" w:rsidR="00CC19CE" w:rsidRDefault="00CC19CE">
      <w:pPr>
        <w:keepNext/>
        <w:numPr>
          <w:ilvl w:val="4"/>
          <w:numId w:val="1"/>
        </w:numPr>
        <w:pBdr>
          <w:between w:val="nil"/>
        </w:pBdr>
        <w:tabs>
          <w:tab w:val="left" w:pos="0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77777777" w:rsidR="00CC19CE" w:rsidRDefault="00CC19CE">
      <w:pPr>
        <w:spacing w:line="360" w:lineRule="auto"/>
        <w:rPr>
          <w:rFonts w:ascii="Arial" w:eastAsia="Arial" w:hAnsi="Arial" w:cs="Arial"/>
          <w:color w:val="000000"/>
        </w:rPr>
      </w:pPr>
    </w:p>
    <w:p w14:paraId="00000006" w14:textId="77777777" w:rsidR="00CC19CE" w:rsidRDefault="00CC19CE">
      <w:pPr>
        <w:spacing w:line="360" w:lineRule="auto"/>
        <w:rPr>
          <w:rFonts w:ascii="Arial" w:eastAsia="Arial" w:hAnsi="Arial" w:cs="Arial"/>
          <w:color w:val="000000"/>
        </w:rPr>
      </w:pPr>
    </w:p>
    <w:p w14:paraId="00000007" w14:textId="77777777" w:rsidR="00CC19CE" w:rsidRDefault="00CC19CE">
      <w:pPr>
        <w:spacing w:line="360" w:lineRule="auto"/>
        <w:rPr>
          <w:rFonts w:ascii="Arial" w:eastAsia="Arial" w:hAnsi="Arial" w:cs="Arial"/>
          <w:color w:val="000000"/>
        </w:rPr>
      </w:pPr>
    </w:p>
    <w:p w14:paraId="00000008" w14:textId="77777777" w:rsidR="00CC19CE" w:rsidRDefault="00D517FF">
      <w:pPr>
        <w:spacing w:line="360" w:lineRule="auto"/>
        <w:jc w:val="right"/>
      </w:pPr>
      <w:r>
        <w:rPr>
          <w:rFonts w:ascii="Arial" w:eastAsia="Arial" w:hAnsi="Arial" w:cs="Arial"/>
          <w:b/>
          <w:color w:val="000000"/>
          <w:highlight w:val="white"/>
        </w:rPr>
        <w:tab/>
      </w:r>
      <w:r>
        <w:rPr>
          <w:rFonts w:ascii="Arial" w:eastAsia="Arial" w:hAnsi="Arial" w:cs="Arial"/>
          <w:b/>
          <w:color w:val="000000"/>
          <w:highlight w:val="white"/>
        </w:rPr>
        <w:tab/>
      </w:r>
      <w:r>
        <w:rPr>
          <w:rFonts w:ascii="Arial" w:eastAsia="Arial" w:hAnsi="Arial" w:cs="Arial"/>
          <w:b/>
          <w:color w:val="000000"/>
          <w:highlight w:val="white"/>
        </w:rPr>
        <w:tab/>
      </w:r>
      <w:r>
        <w:rPr>
          <w:rFonts w:ascii="Arial" w:eastAsia="Arial" w:hAnsi="Arial" w:cs="Arial"/>
          <w:b/>
          <w:color w:val="000000"/>
          <w:highlight w:val="white"/>
        </w:rPr>
        <w:tab/>
      </w:r>
      <w:r>
        <w:rPr>
          <w:rFonts w:ascii="Arial" w:eastAsia="Arial" w:hAnsi="Arial" w:cs="Arial"/>
          <w:b/>
          <w:color w:val="000000"/>
          <w:highlight w:val="white"/>
        </w:rPr>
        <w:tab/>
      </w:r>
    </w:p>
    <w:p w14:paraId="00000009" w14:textId="77777777" w:rsidR="00CC19CE" w:rsidRDefault="00D517FF">
      <w:pPr>
        <w:spacing w:line="360" w:lineRule="auto"/>
        <w:jc w:val="right"/>
      </w:pPr>
      <w:r>
        <w:rPr>
          <w:rFonts w:ascii="Arial" w:eastAsia="Arial" w:hAnsi="Arial" w:cs="Arial"/>
          <w:b/>
          <w:color w:val="000000"/>
          <w:highlight w:val="white"/>
        </w:rPr>
        <w:tab/>
      </w:r>
      <w:r>
        <w:rPr>
          <w:rFonts w:ascii="Arial" w:eastAsia="Arial" w:hAnsi="Arial" w:cs="Arial"/>
          <w:b/>
          <w:color w:val="000000"/>
          <w:highlight w:val="white"/>
        </w:rPr>
        <w:tab/>
      </w:r>
      <w:r>
        <w:rPr>
          <w:rFonts w:ascii="Arial" w:eastAsia="Arial" w:hAnsi="Arial" w:cs="Arial"/>
          <w:b/>
          <w:color w:val="000000"/>
          <w:highlight w:val="white"/>
        </w:rPr>
        <w:tab/>
      </w:r>
      <w:r>
        <w:rPr>
          <w:rFonts w:ascii="Arial" w:eastAsia="Arial" w:hAnsi="Arial" w:cs="Arial"/>
          <w:b/>
          <w:color w:val="000000"/>
          <w:highlight w:val="white"/>
        </w:rPr>
        <w:tab/>
        <w:t>REMISSÃO SIMPLES</w:t>
      </w:r>
    </w:p>
    <w:p w14:paraId="0000000A" w14:textId="77777777" w:rsidR="00CC19CE" w:rsidRDefault="00CC19CE">
      <w:pPr>
        <w:spacing w:line="360" w:lineRule="auto"/>
        <w:rPr>
          <w:rFonts w:ascii="Arial" w:eastAsia="Arial" w:hAnsi="Arial" w:cs="Arial"/>
          <w:color w:val="000000"/>
        </w:rPr>
      </w:pPr>
    </w:p>
    <w:p w14:paraId="0000000B" w14:textId="77777777" w:rsidR="00CC19CE" w:rsidRDefault="00CC19CE">
      <w:pPr>
        <w:spacing w:line="360" w:lineRule="auto"/>
        <w:rPr>
          <w:rFonts w:ascii="Arial" w:eastAsia="Arial" w:hAnsi="Arial" w:cs="Arial"/>
          <w:color w:val="000000"/>
        </w:rPr>
      </w:pPr>
    </w:p>
    <w:p w14:paraId="0000000C" w14:textId="77777777" w:rsidR="00CC19CE" w:rsidRDefault="00CC19CE">
      <w:pPr>
        <w:spacing w:line="360" w:lineRule="auto"/>
        <w:rPr>
          <w:rFonts w:ascii="Arial" w:eastAsia="Arial" w:hAnsi="Arial" w:cs="Arial"/>
          <w:color w:val="000000"/>
        </w:rPr>
      </w:pPr>
    </w:p>
    <w:p w14:paraId="0000000D" w14:textId="2D8C7EDE" w:rsidR="00CC19CE" w:rsidRDefault="00D517FF">
      <w:pPr>
        <w:widowControl/>
        <w:tabs>
          <w:tab w:val="left" w:pos="2790"/>
        </w:tabs>
        <w:spacing w:after="85" w:line="360" w:lineRule="auto"/>
        <w:ind w:firstLine="1134"/>
        <w:jc w:val="both"/>
      </w:pP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b/>
          <w:color w:val="000000"/>
        </w:rPr>
        <w:t>MINISTÉRIO PÚBLICO DO ESTADO DA BAHIA</w:t>
      </w:r>
      <w:r>
        <w:rPr>
          <w:rFonts w:ascii="Arial" w:eastAsia="Arial" w:hAnsi="Arial" w:cs="Arial"/>
          <w:color w:val="000000"/>
        </w:rPr>
        <w:t xml:space="preserve">, por intermédio da Promotora de Justiça subscritora, no uso das atribuições legais conferida pelo artigo 201, incisos I e II, da Lei 8069/90 (Estatuto da Criança e do Adolescente – ECA), vem, respeitosamente, perante V. Ex.ª, com base no anexo </w:t>
      </w:r>
      <w:r>
        <w:rPr>
          <w:rFonts w:ascii="Arial" w:eastAsia="Arial" w:hAnsi="Arial" w:cs="Arial"/>
          <w:b/>
          <w:color w:val="000000"/>
        </w:rPr>
        <w:t>Boletim de Ocorrência identificado em epígrafe</w:t>
      </w:r>
      <w:r>
        <w:rPr>
          <w:rFonts w:ascii="Arial" w:eastAsia="Arial" w:hAnsi="Arial" w:cs="Arial"/>
          <w:color w:val="000000"/>
        </w:rPr>
        <w:t xml:space="preserve">, oriundo da Delegacia para o Adolescente Infrator - DAI, requerer </w:t>
      </w:r>
      <w:r>
        <w:rPr>
          <w:rFonts w:ascii="Arial" w:eastAsia="Arial" w:hAnsi="Arial" w:cs="Arial"/>
          <w:b/>
          <w:color w:val="000000"/>
          <w:u w:val="single"/>
        </w:rPr>
        <w:t>HOMOLOGAÇÃO DE</w:t>
      </w:r>
      <w:r>
        <w:rPr>
          <w:rFonts w:ascii="Arial" w:eastAsia="Arial" w:hAnsi="Arial" w:cs="Arial"/>
          <w:color w:val="000000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u w:val="single"/>
        </w:rPr>
        <w:t>REMISSÃO SIMPLES</w:t>
      </w:r>
      <w:r>
        <w:rPr>
          <w:rFonts w:ascii="Arial" w:eastAsia="Arial" w:hAnsi="Arial" w:cs="Arial"/>
          <w:color w:val="000000"/>
        </w:rPr>
        <w:t xml:space="preserve"> concedida ao adolescente </w:t>
      </w:r>
      <w:r w:rsidR="00C643C9">
        <w:rPr>
          <w:rStyle w:val="Fontepargpadro1"/>
          <w:rFonts w:ascii="Arial" w:hAnsi="Arial" w:cs="Arial"/>
          <w:b/>
          <w:color w:val="000000"/>
        </w:rPr>
        <w:t>XXXXXX</w:t>
      </w:r>
      <w:r>
        <w:rPr>
          <w:rFonts w:ascii="Arial" w:eastAsia="Arial" w:hAnsi="Arial" w:cs="Arial"/>
          <w:b/>
          <w:color w:val="000000"/>
          <w:u w:val="single"/>
        </w:rPr>
        <w:t>,</w:t>
      </w:r>
      <w:r>
        <w:rPr>
          <w:rFonts w:ascii="Arial" w:eastAsia="Arial" w:hAnsi="Arial" w:cs="Arial"/>
          <w:color w:val="000000"/>
          <w:u w:val="single"/>
        </w:rPr>
        <w:t xml:space="preserve"> natural de </w:t>
      </w:r>
      <w:r w:rsidR="00C643C9">
        <w:rPr>
          <w:rStyle w:val="Fontepargpadro1"/>
          <w:rFonts w:ascii="Arial" w:hAnsi="Arial" w:cs="Arial"/>
          <w:b/>
          <w:color w:val="000000"/>
        </w:rPr>
        <w:t>XXXXXX</w:t>
      </w:r>
      <w:r>
        <w:rPr>
          <w:rFonts w:ascii="Arial" w:eastAsia="Arial" w:hAnsi="Arial" w:cs="Arial"/>
          <w:color w:val="000000"/>
          <w:u w:val="single"/>
        </w:rPr>
        <w:t xml:space="preserve">, nascido em </w:t>
      </w:r>
      <w:r w:rsidR="00C643C9">
        <w:rPr>
          <w:rStyle w:val="Fontepargpadro1"/>
          <w:rFonts w:ascii="Arial" w:hAnsi="Arial" w:cs="Arial"/>
          <w:b/>
          <w:color w:val="000000"/>
        </w:rPr>
        <w:t>XXXXXX</w:t>
      </w:r>
      <w:r>
        <w:rPr>
          <w:rFonts w:ascii="Arial" w:eastAsia="Arial" w:hAnsi="Arial" w:cs="Arial"/>
          <w:color w:val="000000"/>
          <w:u w:val="single"/>
        </w:rPr>
        <w:t xml:space="preserve">, filho de </w:t>
      </w:r>
      <w:r w:rsidR="00C643C9">
        <w:rPr>
          <w:rStyle w:val="Fontepargpadro1"/>
          <w:rFonts w:ascii="Arial" w:hAnsi="Arial" w:cs="Arial"/>
          <w:b/>
          <w:color w:val="000000"/>
        </w:rPr>
        <w:t>XXXXXX</w:t>
      </w:r>
      <w:r>
        <w:rPr>
          <w:rFonts w:ascii="Arial" w:eastAsia="Arial" w:hAnsi="Arial" w:cs="Arial"/>
          <w:color w:val="000000"/>
          <w:u w:val="single"/>
        </w:rPr>
        <w:t xml:space="preserve">, residente na </w:t>
      </w:r>
      <w:r w:rsidR="00F331F3">
        <w:rPr>
          <w:rFonts w:ascii="Arial" w:eastAsia="Arial" w:hAnsi="Arial" w:cs="Arial"/>
          <w:color w:val="000000"/>
          <w:u w:val="single"/>
        </w:rPr>
        <w:t>r</w:t>
      </w:r>
      <w:r>
        <w:rPr>
          <w:rFonts w:ascii="Arial" w:eastAsia="Arial" w:hAnsi="Arial" w:cs="Arial"/>
          <w:color w:val="000000"/>
          <w:u w:val="single"/>
        </w:rPr>
        <w:t xml:space="preserve">ua </w:t>
      </w:r>
      <w:r w:rsidR="00C643C9">
        <w:rPr>
          <w:rFonts w:ascii="Arial" w:eastAsia="Arial" w:hAnsi="Arial" w:cs="Arial"/>
          <w:color w:val="000000"/>
          <w:u w:val="single"/>
        </w:rPr>
        <w:t xml:space="preserve"> </w:t>
      </w:r>
      <w:r w:rsidR="00C643C9">
        <w:rPr>
          <w:rStyle w:val="Fontepargpadro1"/>
          <w:rFonts w:ascii="Arial" w:hAnsi="Arial" w:cs="Arial"/>
          <w:b/>
          <w:color w:val="000000"/>
        </w:rPr>
        <w:t>XXXXXX</w:t>
      </w:r>
      <w:r>
        <w:rPr>
          <w:rFonts w:ascii="Arial" w:eastAsia="Arial" w:hAnsi="Arial" w:cs="Arial"/>
          <w:color w:val="000000"/>
          <w:u w:val="single"/>
        </w:rPr>
        <w:t xml:space="preserve">, telefone </w:t>
      </w:r>
      <w:r w:rsidR="00C643C9">
        <w:rPr>
          <w:rFonts w:ascii="Arial" w:eastAsia="Arial" w:hAnsi="Arial" w:cs="Arial"/>
          <w:color w:val="000000"/>
          <w:u w:val="single"/>
        </w:rPr>
        <w:t xml:space="preserve"> </w:t>
      </w:r>
      <w:r w:rsidR="00C643C9">
        <w:rPr>
          <w:rStyle w:val="Fontepargpadro1"/>
          <w:rFonts w:ascii="Arial" w:hAnsi="Arial" w:cs="Arial"/>
          <w:b/>
          <w:color w:val="000000"/>
        </w:rPr>
        <w:t>XXXXXX</w:t>
      </w:r>
      <w:r>
        <w:rPr>
          <w:rFonts w:ascii="Arial" w:eastAsia="Arial" w:hAnsi="Arial" w:cs="Arial"/>
          <w:color w:val="000000"/>
          <w:u w:val="single"/>
        </w:rPr>
        <w:t>,</w:t>
      </w:r>
      <w:r>
        <w:rPr>
          <w:rFonts w:ascii="Arial" w:eastAsia="Arial" w:hAnsi="Arial" w:cs="Arial"/>
          <w:color w:val="000000"/>
        </w:rPr>
        <w:t xml:space="preserve"> pelos fatos que passa a expor:</w:t>
      </w:r>
    </w:p>
    <w:p w14:paraId="6C3DF7BA" w14:textId="624370A1" w:rsidR="00F331F3" w:rsidRPr="00F331F3" w:rsidRDefault="00D517FF" w:rsidP="00F331F3">
      <w:pPr>
        <w:pBdr>
          <w:between w:val="nil"/>
        </w:pBdr>
        <w:spacing w:before="240" w:after="120" w:line="360" w:lineRule="auto"/>
        <w:ind w:firstLine="1134"/>
        <w:jc w:val="both"/>
      </w:pPr>
      <w:r>
        <w:rPr>
          <w:rFonts w:ascii="Arial" w:eastAsia="Arial" w:hAnsi="Arial" w:cs="Arial"/>
          <w:color w:val="000000"/>
        </w:rPr>
        <w:t xml:space="preserve">Conforme as peças informativas anexas, no dia 28 de agosto de 2020, por volta das 21:00h, na </w:t>
      </w:r>
      <w:r w:rsidR="00F331F3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 xml:space="preserve">ua Nilton Santa Rita, bairro de </w:t>
      </w:r>
      <w:r w:rsidR="00F331F3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aléria</w:t>
      </w:r>
      <w:r>
        <w:rPr>
          <w:rFonts w:ascii="Arial" w:eastAsia="Arial" w:hAnsi="Arial" w:cs="Arial"/>
          <w:color w:val="000000"/>
        </w:rPr>
        <w:t xml:space="preserve">, nesta </w:t>
      </w:r>
      <w:r w:rsidR="00F331F3"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</w:rPr>
        <w:t xml:space="preserve">apital, o adolescente </w:t>
      </w:r>
      <w:r w:rsidR="00C643C9">
        <w:rPr>
          <w:rStyle w:val="Fontepargpadro1"/>
          <w:rFonts w:ascii="Arial" w:hAnsi="Arial" w:cs="Arial"/>
          <w:b/>
          <w:color w:val="000000"/>
        </w:rPr>
        <w:t>XXXXXX</w:t>
      </w:r>
      <w:r>
        <w:rPr>
          <w:rFonts w:ascii="Arial" w:eastAsia="Arial" w:hAnsi="Arial" w:cs="Arial"/>
          <w:color w:val="000000"/>
        </w:rPr>
        <w:t xml:space="preserve">, </w:t>
      </w:r>
      <w:r w:rsidR="00F331F3">
        <w:rPr>
          <w:rFonts w:ascii="Arial" w:eastAsia="Arial" w:hAnsi="Arial" w:cs="Arial"/>
          <w:color w:val="000000"/>
        </w:rPr>
        <w:t xml:space="preserve">tinha sob seu poder 1,28 gramas de erva esverdeada dentro de uma embalagem de plástico, que </w:t>
      </w:r>
      <w:r w:rsidR="00F331F3" w:rsidRPr="00F331F3">
        <w:rPr>
          <w:rFonts w:ascii="Arial" w:eastAsia="Arial" w:hAnsi="Arial" w:cs="Arial"/>
        </w:rPr>
        <w:t>ao ser questionado pelo posse da erva seca o adolescente afirmou que era destinadas ao uso pessoal.</w:t>
      </w:r>
    </w:p>
    <w:p w14:paraId="00000010" w14:textId="6AA144DC" w:rsidR="00CC19CE" w:rsidRDefault="00F331F3" w:rsidP="007D3388">
      <w:pPr>
        <w:pBdr>
          <w:between w:val="nil"/>
        </w:pBdr>
        <w:spacing w:before="240" w:after="120" w:line="360" w:lineRule="auto"/>
        <w:jc w:val="both"/>
        <w:rPr>
          <w:rFonts w:ascii="Arial" w:eastAsia="Arial" w:hAnsi="Arial" w:cs="Arial"/>
        </w:rPr>
      </w:pPr>
      <w:r w:rsidRPr="007D3388">
        <w:rPr>
          <w:rFonts w:ascii="Arial" w:eastAsia="Arial" w:hAnsi="Arial" w:cs="Arial"/>
        </w:rPr>
        <w:t xml:space="preserve">Segundo o apurado nada data e local supracitado estava ora o apresentado pela </w:t>
      </w:r>
      <w:r w:rsidR="00D517FF" w:rsidRPr="007D3388">
        <w:rPr>
          <w:rFonts w:ascii="Arial" w:eastAsia="Arial" w:hAnsi="Arial" w:cs="Arial"/>
        </w:rPr>
        <w:t xml:space="preserve">rua do </w:t>
      </w:r>
      <w:r w:rsidRPr="007D3388">
        <w:rPr>
          <w:rFonts w:ascii="Arial" w:eastAsia="Arial" w:hAnsi="Arial" w:cs="Arial"/>
        </w:rPr>
        <w:t>S</w:t>
      </w:r>
      <w:r w:rsidR="00D517FF" w:rsidRPr="007D3388">
        <w:rPr>
          <w:rFonts w:ascii="Arial" w:eastAsia="Arial" w:hAnsi="Arial" w:cs="Arial"/>
        </w:rPr>
        <w:t>ossego, nas proximidades do local apresentado, quando abordado pelos policiais em atitude suspeita, ao se aproximar do adolescente o mesmo dispensou</w:t>
      </w:r>
      <w:r w:rsidR="007D3388" w:rsidRPr="007D3388">
        <w:rPr>
          <w:rFonts w:ascii="Arial" w:eastAsia="Arial" w:hAnsi="Arial" w:cs="Arial"/>
        </w:rPr>
        <w:t xml:space="preserve"> a referida quantidade de drogas. </w:t>
      </w:r>
    </w:p>
    <w:p w14:paraId="26250743" w14:textId="75945DF1" w:rsidR="00AF4595" w:rsidRPr="00AF4595" w:rsidRDefault="007D3388" w:rsidP="007D3388">
      <w:pPr>
        <w:pBdr>
          <w:between w:val="nil"/>
        </w:pBdr>
        <w:spacing w:before="24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material apreendido em poder do representado foi submetido a perícia, constatando-se que se trata, realmente, de droga conforme laudo pericial n° </w:t>
      </w:r>
      <w:r w:rsidR="00AF4595">
        <w:rPr>
          <w:rFonts w:ascii="Arial" w:eastAsia="Arial" w:hAnsi="Arial" w:cs="Arial"/>
        </w:rPr>
        <w:t xml:space="preserve">2020 00 </w:t>
      </w:r>
      <w:r w:rsidR="00AF4595">
        <w:rPr>
          <w:rFonts w:ascii="Arial" w:eastAsia="Arial" w:hAnsi="Arial" w:cs="Arial"/>
        </w:rPr>
        <w:lastRenderedPageBreak/>
        <w:t>LC 030099-01.</w:t>
      </w:r>
    </w:p>
    <w:p w14:paraId="00000011" w14:textId="7A87BEAB" w:rsidR="00CC19CE" w:rsidRDefault="00D517FF">
      <w:pPr>
        <w:pBdr>
          <w:between w:val="nil"/>
        </w:pBdr>
        <w:spacing w:before="240" w:after="120" w:line="360" w:lineRule="auto"/>
        <w:ind w:firstLine="113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 conduta praticada pelo adolescente se amolda à descrição típica do</w:t>
      </w:r>
      <w:r w:rsidR="00AF4595">
        <w:rPr>
          <w:rFonts w:ascii="Arial" w:eastAsia="Arial" w:hAnsi="Arial" w:cs="Arial"/>
          <w:color w:val="000000"/>
        </w:rPr>
        <w:t xml:space="preserve"> </w:t>
      </w:r>
      <w:r w:rsidR="00AF4595">
        <w:rPr>
          <w:rFonts w:ascii="Arial" w:eastAsia="Arial" w:hAnsi="Arial" w:cs="Arial"/>
          <w:b/>
          <w:color w:val="222222"/>
          <w:highlight w:val="white"/>
        </w:rPr>
        <w:t>a</w:t>
      </w:r>
      <w:r>
        <w:rPr>
          <w:rFonts w:ascii="Arial" w:eastAsia="Arial" w:hAnsi="Arial" w:cs="Arial"/>
          <w:b/>
          <w:color w:val="222222"/>
          <w:highlight w:val="white"/>
        </w:rPr>
        <w:t>rt. 28 da Lei 11</w:t>
      </w:r>
      <w:r w:rsidR="0096379D">
        <w:rPr>
          <w:rFonts w:ascii="Arial" w:eastAsia="Arial" w:hAnsi="Arial" w:cs="Arial"/>
          <w:b/>
          <w:color w:val="222222"/>
          <w:highlight w:val="white"/>
        </w:rPr>
        <w:t>.</w:t>
      </w:r>
      <w:r>
        <w:rPr>
          <w:rFonts w:ascii="Arial" w:eastAsia="Arial" w:hAnsi="Arial" w:cs="Arial"/>
          <w:b/>
          <w:color w:val="222222"/>
          <w:highlight w:val="white"/>
        </w:rPr>
        <w:t>343/2006</w:t>
      </w:r>
      <w:r>
        <w:rPr>
          <w:rFonts w:ascii="Arial" w:eastAsia="Arial" w:hAnsi="Arial" w:cs="Arial"/>
          <w:color w:val="000000"/>
        </w:rPr>
        <w:t xml:space="preserve">, configurando-se, pois, como ato infracional, em conformidade com o disposto no artigo 103 da Lei 8069/90. </w:t>
      </w:r>
    </w:p>
    <w:p w14:paraId="00000012" w14:textId="77777777" w:rsidR="00CC19CE" w:rsidRDefault="00D517FF">
      <w:pPr>
        <w:widowControl/>
        <w:tabs>
          <w:tab w:val="left" w:pos="2790"/>
        </w:tabs>
        <w:spacing w:after="85" w:line="360" w:lineRule="auto"/>
        <w:ind w:firstLine="1134"/>
        <w:jc w:val="both"/>
      </w:pPr>
      <w:r>
        <w:rPr>
          <w:rFonts w:ascii="Arial" w:eastAsia="Arial" w:hAnsi="Arial" w:cs="Arial"/>
          <w:color w:val="000000"/>
        </w:rPr>
        <w:t xml:space="preserve">Constatou-se, à dos elementos informativos colhidos, que o ato infracional praticado, tendo em vista seus contornos concretos, não foi de extrema gravidade, especialmente porque </w:t>
      </w:r>
      <w:r>
        <w:rPr>
          <w:rFonts w:ascii="Arial" w:eastAsia="Arial" w:hAnsi="Arial" w:cs="Arial"/>
          <w:b/>
          <w:color w:val="000000"/>
        </w:rPr>
        <w:t>não causou prejuízos irreparáveis a terceiros</w:t>
      </w:r>
      <w:r>
        <w:rPr>
          <w:rFonts w:ascii="Arial" w:eastAsia="Arial" w:hAnsi="Arial" w:cs="Arial"/>
          <w:color w:val="000000"/>
        </w:rPr>
        <w:t>.</w:t>
      </w:r>
    </w:p>
    <w:p w14:paraId="00000013" w14:textId="77777777" w:rsidR="00CC19CE" w:rsidRDefault="00D517FF">
      <w:pPr>
        <w:widowControl/>
        <w:tabs>
          <w:tab w:val="left" w:pos="2790"/>
        </w:tabs>
        <w:spacing w:after="85" w:line="360" w:lineRule="auto"/>
        <w:ind w:firstLine="1134"/>
        <w:jc w:val="both"/>
      </w:pPr>
      <w:r>
        <w:rPr>
          <w:rFonts w:ascii="Arial" w:eastAsia="Arial" w:hAnsi="Arial" w:cs="Arial"/>
          <w:color w:val="000000"/>
        </w:rPr>
        <w:t>Por esses motivos, verificou-se que a busca por aplicação de medida socioeducativa restritiva de liberdade seria incabível e a deflagração de ação socioeducativa despicienda, no presente caso e momento.</w:t>
      </w:r>
    </w:p>
    <w:p w14:paraId="00000014" w14:textId="77777777" w:rsidR="00CC19CE" w:rsidRDefault="00D517FF">
      <w:pPr>
        <w:widowControl/>
        <w:tabs>
          <w:tab w:val="left" w:pos="2790"/>
        </w:tabs>
        <w:spacing w:after="85" w:line="360" w:lineRule="auto"/>
        <w:ind w:firstLine="1134"/>
        <w:jc w:val="both"/>
      </w:pPr>
      <w:r>
        <w:rPr>
          <w:rFonts w:ascii="Arial" w:eastAsia="Arial" w:hAnsi="Arial" w:cs="Arial"/>
          <w:color w:val="000000"/>
        </w:rPr>
        <w:t xml:space="preserve">Dessa forma, o Ministério Público, em conformidade com o previsto nos artigos 126, 127 e 180, inc. II, do ECA, entendeu cabível conceder ao adolescente nominado </w:t>
      </w:r>
      <w:r>
        <w:rPr>
          <w:rFonts w:ascii="Arial" w:eastAsia="Arial" w:hAnsi="Arial" w:cs="Arial"/>
          <w:b/>
          <w:color w:val="000000"/>
          <w:u w:val="single"/>
        </w:rPr>
        <w:t>REMISSÃO SIMPLES.</w:t>
      </w:r>
    </w:p>
    <w:p w14:paraId="00000015" w14:textId="77777777" w:rsidR="00CC19CE" w:rsidRDefault="00D517FF">
      <w:pPr>
        <w:widowControl/>
        <w:tabs>
          <w:tab w:val="left" w:pos="2790"/>
        </w:tabs>
        <w:spacing w:after="85" w:line="360" w:lineRule="auto"/>
        <w:ind w:firstLine="1134"/>
        <w:jc w:val="both"/>
      </w:pPr>
      <w:r>
        <w:rPr>
          <w:rFonts w:ascii="Arial" w:eastAsia="Arial" w:hAnsi="Arial" w:cs="Arial"/>
          <w:color w:val="000000"/>
          <w:highlight w:val="white"/>
        </w:rPr>
        <w:t xml:space="preserve">Diante do exposto, </w:t>
      </w:r>
      <w:r>
        <w:rPr>
          <w:rFonts w:ascii="Arial" w:eastAsia="Arial" w:hAnsi="Arial" w:cs="Arial"/>
          <w:b/>
          <w:color w:val="000000"/>
          <w:highlight w:val="white"/>
          <w:u w:val="single"/>
        </w:rPr>
        <w:t>PEDE</w:t>
      </w:r>
      <w:r>
        <w:rPr>
          <w:rFonts w:ascii="Arial" w:eastAsia="Arial" w:hAnsi="Arial" w:cs="Arial"/>
          <w:color w:val="000000"/>
          <w:highlight w:val="white"/>
        </w:rPr>
        <w:t xml:space="preserve"> a </w:t>
      </w:r>
      <w:r>
        <w:rPr>
          <w:rFonts w:ascii="Arial" w:eastAsia="Arial" w:hAnsi="Arial" w:cs="Arial"/>
          <w:b/>
          <w:color w:val="000000"/>
          <w:highlight w:val="white"/>
          <w:u w:val="single"/>
        </w:rPr>
        <w:t>HOMOLOGAÇÃO DA CONCESSÃO DA REMISSÃO SIMPLES.</w:t>
      </w:r>
    </w:p>
    <w:p w14:paraId="00000016" w14:textId="77777777" w:rsidR="00CC19CE" w:rsidRDefault="00CC19CE">
      <w:pPr>
        <w:widowControl/>
        <w:tabs>
          <w:tab w:val="left" w:pos="2790"/>
        </w:tabs>
        <w:spacing w:line="360" w:lineRule="auto"/>
        <w:ind w:firstLine="1134"/>
        <w:jc w:val="both"/>
        <w:rPr>
          <w:rFonts w:ascii="Arial" w:eastAsia="Arial" w:hAnsi="Arial" w:cs="Arial"/>
          <w:color w:val="000000"/>
        </w:rPr>
      </w:pPr>
    </w:p>
    <w:p w14:paraId="00000017" w14:textId="409959A9" w:rsidR="00CC19CE" w:rsidRDefault="00D517FF">
      <w:pPr>
        <w:widowControl/>
        <w:tabs>
          <w:tab w:val="left" w:pos="2790"/>
        </w:tabs>
        <w:spacing w:line="360" w:lineRule="auto"/>
        <w:ind w:firstLine="1134"/>
        <w:jc w:val="both"/>
      </w:pPr>
      <w:r>
        <w:rPr>
          <w:rFonts w:ascii="Arial" w:eastAsia="Arial" w:hAnsi="Arial" w:cs="Arial"/>
          <w:color w:val="000000"/>
        </w:rPr>
        <w:t>Salvador/BA,</w:t>
      </w:r>
      <w:r w:rsidR="0096379D">
        <w:rPr>
          <w:rFonts w:ascii="Arial" w:eastAsia="Arial" w:hAnsi="Arial" w:cs="Arial"/>
          <w:color w:val="000000"/>
        </w:rPr>
        <w:t xml:space="preserve"> </w:t>
      </w:r>
      <w:proofErr w:type="spellStart"/>
      <w:r w:rsidR="0096379D">
        <w:rPr>
          <w:rFonts w:ascii="Arial" w:eastAsia="Arial" w:hAnsi="Arial" w:cs="Arial"/>
          <w:color w:val="000000"/>
        </w:rPr>
        <w:t>xx</w:t>
      </w:r>
      <w:proofErr w:type="spellEnd"/>
      <w:r w:rsidR="00AF4595">
        <w:rPr>
          <w:rFonts w:ascii="Arial" w:eastAsia="Arial" w:hAnsi="Arial" w:cs="Arial"/>
        </w:rPr>
        <w:t xml:space="preserve"> de </w:t>
      </w:r>
      <w:proofErr w:type="spellStart"/>
      <w:r w:rsidR="0096379D">
        <w:rPr>
          <w:rFonts w:ascii="Arial" w:eastAsia="Arial" w:hAnsi="Arial" w:cs="Arial"/>
        </w:rPr>
        <w:t>xxxx</w:t>
      </w:r>
      <w:proofErr w:type="spellEnd"/>
      <w:r>
        <w:rPr>
          <w:rFonts w:ascii="Arial" w:eastAsia="Arial" w:hAnsi="Arial" w:cs="Arial"/>
          <w:color w:val="000000"/>
        </w:rPr>
        <w:t xml:space="preserve"> de 202</w:t>
      </w:r>
      <w:r w:rsidR="0096379D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. </w:t>
      </w:r>
    </w:p>
    <w:p w14:paraId="00000018" w14:textId="77777777" w:rsidR="00CC19CE" w:rsidRDefault="00CC19CE">
      <w:pPr>
        <w:widowControl/>
        <w:spacing w:line="360" w:lineRule="auto"/>
        <w:ind w:right="1474"/>
        <w:jc w:val="center"/>
        <w:rPr>
          <w:rFonts w:ascii="Arial" w:eastAsia="Arial" w:hAnsi="Arial" w:cs="Arial"/>
          <w:color w:val="000000"/>
        </w:rPr>
      </w:pPr>
    </w:p>
    <w:p w14:paraId="00000019" w14:textId="77777777" w:rsidR="00CC19CE" w:rsidRDefault="00CC19CE">
      <w:pPr>
        <w:widowControl/>
        <w:spacing w:line="360" w:lineRule="auto"/>
        <w:ind w:right="1474"/>
        <w:jc w:val="center"/>
        <w:rPr>
          <w:rFonts w:ascii="Arial" w:eastAsia="Arial" w:hAnsi="Arial" w:cs="Arial"/>
          <w:color w:val="000000"/>
        </w:rPr>
      </w:pPr>
    </w:p>
    <w:p w14:paraId="0000001A" w14:textId="365BD8F5" w:rsidR="00CC19CE" w:rsidRDefault="0096379D">
      <w:pPr>
        <w:spacing w:line="276" w:lineRule="auto"/>
        <w:jc w:val="center"/>
      </w:pPr>
      <w:proofErr w:type="spellStart"/>
      <w:r>
        <w:rPr>
          <w:rFonts w:ascii="Arial" w:eastAsia="Arial" w:hAnsi="Arial" w:cs="Arial"/>
          <w:b/>
          <w:color w:val="000000"/>
        </w:rPr>
        <w:t>xxxxxx</w:t>
      </w:r>
      <w:proofErr w:type="spellEnd"/>
    </w:p>
    <w:p w14:paraId="0000001B" w14:textId="60DAC38D" w:rsidR="00CC19CE" w:rsidRDefault="00D517FF">
      <w:pPr>
        <w:spacing w:line="276" w:lineRule="auto"/>
        <w:jc w:val="center"/>
      </w:pPr>
      <w:r>
        <w:rPr>
          <w:rFonts w:ascii="Arial" w:eastAsia="Arial" w:hAnsi="Arial" w:cs="Arial"/>
          <w:b/>
          <w:color w:val="000000"/>
        </w:rPr>
        <w:t xml:space="preserve"> Promotora de Justiça</w:t>
      </w:r>
      <w:r w:rsidR="0096379D">
        <w:rPr>
          <w:rFonts w:ascii="Arial" w:eastAsia="Arial" w:hAnsi="Arial" w:cs="Arial"/>
          <w:b/>
          <w:color w:val="000000"/>
        </w:rPr>
        <w:t xml:space="preserve"> plantonista</w:t>
      </w:r>
    </w:p>
    <w:sectPr w:rsidR="00CC19CE" w:rsidSect="0096379D">
      <w:headerReference w:type="default" r:id="rId7"/>
      <w:pgSz w:w="11906" w:h="16838"/>
      <w:pgMar w:top="1701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EAA5" w14:textId="77777777" w:rsidR="003C07B1" w:rsidRDefault="003C07B1">
      <w:r>
        <w:separator/>
      </w:r>
    </w:p>
  </w:endnote>
  <w:endnote w:type="continuationSeparator" w:id="0">
    <w:p w14:paraId="09247403" w14:textId="77777777" w:rsidR="003C07B1" w:rsidRDefault="003C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7A09" w14:textId="77777777" w:rsidR="003C07B1" w:rsidRDefault="003C07B1">
      <w:r>
        <w:separator/>
      </w:r>
    </w:p>
  </w:footnote>
  <w:footnote w:type="continuationSeparator" w:id="0">
    <w:p w14:paraId="0FCD0723" w14:textId="77777777" w:rsidR="003C07B1" w:rsidRDefault="003C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3816F273" w:rsidR="00CC19CE" w:rsidRDefault="0096379D" w:rsidP="0096379D">
    <w:pPr>
      <w:numPr>
        <w:ilvl w:val="0"/>
        <w:numId w:val="2"/>
      </w:numPr>
      <w:tabs>
        <w:tab w:val="left" w:pos="0"/>
      </w:tabs>
      <w:spacing w:line="276" w:lineRule="auto"/>
      <w:ind w:left="-1701"/>
      <w:jc w:val="right"/>
    </w:pPr>
    <w:r w:rsidRPr="0096379D">
      <w:drawing>
        <wp:anchor distT="0" distB="0" distL="114300" distR="114300" simplePos="0" relativeHeight="251658240" behindDoc="0" locked="0" layoutInCell="1" allowOverlap="1" wp14:anchorId="635FED2F" wp14:editId="6528AEBB">
          <wp:simplePos x="0" y="0"/>
          <wp:positionH relativeFrom="column">
            <wp:posOffset>-832485</wp:posOffset>
          </wp:positionH>
          <wp:positionV relativeFrom="paragraph">
            <wp:posOffset>47625</wp:posOffset>
          </wp:positionV>
          <wp:extent cx="6819900" cy="1082040"/>
          <wp:effectExtent l="0" t="0" r="0" b="3810"/>
          <wp:wrapSquare wrapText="bothSides"/>
          <wp:docPr id="15" name="Imagem 15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92ED5"/>
    <w:multiLevelType w:val="multilevel"/>
    <w:tmpl w:val="A0B83D08"/>
    <w:lvl w:ilvl="0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sz w:val="18"/>
        <w:szCs w:val="18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71F92D84"/>
    <w:multiLevelType w:val="multilevel"/>
    <w:tmpl w:val="CD78058A"/>
    <w:lvl w:ilvl="0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sz w:val="18"/>
        <w:szCs w:val="18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94387793">
    <w:abstractNumId w:val="0"/>
  </w:num>
  <w:num w:numId="2" w16cid:durableId="94712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9CE"/>
    <w:rsid w:val="00370140"/>
    <w:rsid w:val="003C07B1"/>
    <w:rsid w:val="007D3388"/>
    <w:rsid w:val="008A23A6"/>
    <w:rsid w:val="0096379D"/>
    <w:rsid w:val="00AF4595"/>
    <w:rsid w:val="00C643C9"/>
    <w:rsid w:val="00CC19CE"/>
    <w:rsid w:val="00D517FF"/>
    <w:rsid w:val="00F3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1A55E"/>
  <w15:docId w15:val="{6BBB2BC5-E42E-4B9D-8121-1E277620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F45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4595"/>
  </w:style>
  <w:style w:type="paragraph" w:styleId="Rodap">
    <w:name w:val="footer"/>
    <w:basedOn w:val="Normal"/>
    <w:link w:val="RodapChar"/>
    <w:uiPriority w:val="99"/>
    <w:unhideWhenUsed/>
    <w:rsid w:val="00AF45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4595"/>
  </w:style>
  <w:style w:type="character" w:customStyle="1" w:styleId="Fontepargpadro1">
    <w:name w:val="Fonte parág. padrão1"/>
    <w:rsid w:val="00C6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Anna Karina Omena Vasconcellos Trennepohl</cp:lastModifiedBy>
  <cp:revision>2</cp:revision>
  <dcterms:created xsi:type="dcterms:W3CDTF">2023-02-05T23:26:00Z</dcterms:created>
  <dcterms:modified xsi:type="dcterms:W3CDTF">2023-02-05T23:26:00Z</dcterms:modified>
</cp:coreProperties>
</file>